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71" w:rsidRPr="00310690" w:rsidRDefault="00951A71" w:rsidP="009270F2">
      <w:pPr>
        <w:widowControl/>
        <w:autoSpaceDE/>
        <w:autoSpaceDN/>
        <w:adjustRightInd/>
        <w:jc w:val="left"/>
        <w:rPr>
          <w:rFonts w:cs="Arial"/>
          <w:bCs/>
        </w:rPr>
      </w:pPr>
      <w:r w:rsidRPr="00310690">
        <w:rPr>
          <w:rFonts w:cs="Arial"/>
          <w:sz w:val="20"/>
        </w:rPr>
        <w:t xml:space="preserve">   </w:t>
      </w:r>
      <w:r w:rsidR="00CE4AC6" w:rsidRPr="00310690">
        <w:rPr>
          <w:rFonts w:cs="Arial"/>
          <w:sz w:val="20"/>
        </w:rPr>
        <w:t xml:space="preserve">          </w:t>
      </w:r>
      <w:r w:rsidRPr="00310690">
        <w:rPr>
          <w:rFonts w:cs="Arial"/>
          <w:sz w:val="20"/>
        </w:rPr>
        <w:t xml:space="preserve">      </w:t>
      </w:r>
      <w:r w:rsidRPr="00310690">
        <w:rPr>
          <w:rFonts w:cs="Arial"/>
          <w:noProof/>
          <w:sz w:val="20"/>
        </w:rPr>
        <w:drawing>
          <wp:inline distT="0" distB="0" distL="0" distR="0" wp14:anchorId="76F2D4E6" wp14:editId="5CDE8007">
            <wp:extent cx="466725" cy="800100"/>
            <wp:effectExtent l="0" t="0" r="9525"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8" cstate="print">
                      <a:extLst>
                        <a:ext uri="{28A0092B-C50C-407E-A947-70E740481C1C}">
                          <a14:useLocalDpi xmlns:a14="http://schemas.microsoft.com/office/drawing/2010/main" val="0"/>
                        </a:ext>
                      </a:extLst>
                    </a:blip>
                    <a:srcRect l="-4411" t="-20859" r="-4411" b="-20859"/>
                    <a:stretch>
                      <a:fillRect/>
                    </a:stretch>
                  </pic:blipFill>
                  <pic:spPr bwMode="auto">
                    <a:xfrm>
                      <a:off x="0" y="0"/>
                      <a:ext cx="466725" cy="800100"/>
                    </a:xfrm>
                    <a:prstGeom prst="rect">
                      <a:avLst/>
                    </a:prstGeom>
                    <a:noFill/>
                    <a:ln>
                      <a:noFill/>
                    </a:ln>
                  </pic:spPr>
                </pic:pic>
              </a:graphicData>
            </a:graphic>
          </wp:inline>
        </w:drawing>
      </w:r>
    </w:p>
    <w:p w:rsidR="00951A71" w:rsidRPr="00310690" w:rsidRDefault="00951A71" w:rsidP="009270F2">
      <w:pPr>
        <w:widowControl/>
        <w:autoSpaceDE/>
        <w:autoSpaceDN/>
        <w:adjustRightInd/>
        <w:jc w:val="left"/>
        <w:rPr>
          <w:rFonts w:cs="Arial"/>
          <w:bCs/>
        </w:rPr>
      </w:pPr>
      <w:r w:rsidRPr="00310690">
        <w:rPr>
          <w:rFonts w:cs="Arial"/>
          <w:bCs/>
        </w:rPr>
        <w:t>REPUBLIKA HRVATSKA</w:t>
      </w:r>
    </w:p>
    <w:p w:rsidR="00951A71" w:rsidRPr="00310690" w:rsidRDefault="00951A71" w:rsidP="009270F2">
      <w:pPr>
        <w:widowControl/>
        <w:pBdr>
          <w:bottom w:val="single" w:sz="4" w:space="1" w:color="auto"/>
        </w:pBdr>
        <w:autoSpaceDE/>
        <w:autoSpaceDN/>
        <w:adjustRightInd/>
        <w:rPr>
          <w:rFonts w:cs="Arial"/>
          <w:bCs/>
          <w:szCs w:val="20"/>
        </w:rPr>
      </w:pPr>
      <w:r w:rsidRPr="00310690">
        <w:rPr>
          <w:rFonts w:cs="Arial"/>
          <w:bCs/>
          <w:szCs w:val="20"/>
        </w:rPr>
        <w:t>DRŽAVNI URED ZA REVIZIJU</w:t>
      </w:r>
    </w:p>
    <w:p w:rsidR="002C5AE8" w:rsidRPr="00BD5323" w:rsidRDefault="002C5AE8" w:rsidP="002C5AE8">
      <w:pPr>
        <w:rPr>
          <w:rFonts w:cs="Arial"/>
        </w:rPr>
      </w:pPr>
      <w:r w:rsidRPr="00BD5323">
        <w:rPr>
          <w:rFonts w:cs="Arial"/>
        </w:rPr>
        <w:t>KLASA: 008-01/23-04/1</w:t>
      </w:r>
    </w:p>
    <w:p w:rsidR="002C5AE8" w:rsidRDefault="002C5AE8" w:rsidP="002C5AE8">
      <w:pPr>
        <w:rPr>
          <w:rFonts w:cs="Arial"/>
        </w:rPr>
      </w:pPr>
      <w:r w:rsidRPr="00BD5323">
        <w:rPr>
          <w:rFonts w:cs="Arial"/>
        </w:rPr>
        <w:t>URBROJ: 613-01-10-23-</w:t>
      </w:r>
      <w:r>
        <w:rPr>
          <w:rFonts w:cs="Arial"/>
        </w:rPr>
        <w:t>6</w:t>
      </w:r>
    </w:p>
    <w:p w:rsidR="004967E3" w:rsidRPr="00310690" w:rsidRDefault="004967E3" w:rsidP="009270F2">
      <w:pPr>
        <w:rPr>
          <w:rFonts w:cs="Arial"/>
        </w:rPr>
      </w:pPr>
    </w:p>
    <w:p w:rsidR="00D31330" w:rsidRPr="00310690" w:rsidRDefault="00951A71" w:rsidP="009270F2">
      <w:pPr>
        <w:tabs>
          <w:tab w:val="left" w:pos="567"/>
        </w:tabs>
        <w:ind w:left="567" w:hanging="567"/>
        <w:rPr>
          <w:rFonts w:cs="Arial"/>
        </w:rPr>
      </w:pPr>
      <w:r w:rsidRPr="00310690">
        <w:rPr>
          <w:rFonts w:cs="Arial"/>
        </w:rPr>
        <w:t xml:space="preserve">Zagreb, </w:t>
      </w:r>
      <w:r w:rsidR="00C11533" w:rsidRPr="00310690">
        <w:rPr>
          <w:rFonts w:cs="Arial"/>
        </w:rPr>
        <w:t>20</w:t>
      </w:r>
      <w:r w:rsidR="007C3102" w:rsidRPr="00310690">
        <w:rPr>
          <w:rFonts w:cs="Arial"/>
        </w:rPr>
        <w:t>. prosinca</w:t>
      </w:r>
      <w:r w:rsidR="003C1501" w:rsidRPr="00310690">
        <w:rPr>
          <w:rFonts w:cs="Arial"/>
        </w:rPr>
        <w:t xml:space="preserve"> </w:t>
      </w:r>
      <w:r w:rsidR="00D1646C" w:rsidRPr="00310690">
        <w:rPr>
          <w:rFonts w:cs="Arial"/>
        </w:rPr>
        <w:t>202</w:t>
      </w:r>
      <w:r w:rsidR="00C11533" w:rsidRPr="00310690">
        <w:rPr>
          <w:rFonts w:cs="Arial"/>
        </w:rPr>
        <w:t>3</w:t>
      </w:r>
      <w:r w:rsidR="00D1646C" w:rsidRPr="00310690">
        <w:rPr>
          <w:rFonts w:cs="Arial"/>
        </w:rPr>
        <w:t>.</w:t>
      </w:r>
    </w:p>
    <w:p w:rsidR="0030749A" w:rsidRPr="00310690" w:rsidRDefault="00951A71" w:rsidP="009270F2">
      <w:pPr>
        <w:rPr>
          <w:rFonts w:cs="Arial"/>
        </w:rPr>
      </w:pPr>
      <w:r w:rsidRPr="00310690">
        <w:rPr>
          <w:rFonts w:cs="Arial"/>
        </w:rPr>
        <w:tab/>
      </w:r>
      <w:r w:rsidRPr="00310690">
        <w:rPr>
          <w:rFonts w:cs="Arial"/>
        </w:rPr>
        <w:tab/>
      </w:r>
      <w:r w:rsidRPr="00310690">
        <w:rPr>
          <w:rFonts w:cs="Arial"/>
        </w:rPr>
        <w:tab/>
      </w:r>
    </w:p>
    <w:p w:rsidR="00682DCC" w:rsidRPr="00310690" w:rsidRDefault="0030749A" w:rsidP="009270F2">
      <w:pPr>
        <w:rPr>
          <w:rFonts w:cs="Arial"/>
        </w:rPr>
      </w:pPr>
      <w:r w:rsidRPr="00310690">
        <w:rPr>
          <w:rFonts w:cs="Arial"/>
        </w:rPr>
        <w:tab/>
      </w:r>
      <w:r w:rsidRPr="00310690">
        <w:rPr>
          <w:rFonts w:cs="Arial"/>
        </w:rPr>
        <w:tab/>
      </w:r>
      <w:r w:rsidRPr="00310690">
        <w:rPr>
          <w:rFonts w:cs="Arial"/>
        </w:rPr>
        <w:tab/>
      </w:r>
      <w:r w:rsidRPr="00310690">
        <w:rPr>
          <w:rFonts w:cs="Arial"/>
        </w:rPr>
        <w:tab/>
      </w:r>
    </w:p>
    <w:p w:rsidR="00682DCC" w:rsidRPr="00310690" w:rsidRDefault="00682DCC" w:rsidP="009270F2">
      <w:pPr>
        <w:rPr>
          <w:rFonts w:cs="Arial"/>
        </w:rPr>
      </w:pPr>
    </w:p>
    <w:p w:rsidR="00951A71" w:rsidRPr="00310690" w:rsidRDefault="0030749A" w:rsidP="009270F2">
      <w:pPr>
        <w:rPr>
          <w:rFonts w:cs="Arial"/>
        </w:rPr>
      </w:pPr>
      <w:r w:rsidRPr="00310690">
        <w:rPr>
          <w:rFonts w:cs="Arial"/>
        </w:rPr>
        <w:tab/>
      </w:r>
      <w:r w:rsidR="00951A71" w:rsidRPr="00310690">
        <w:rPr>
          <w:rFonts w:cs="Arial"/>
        </w:rPr>
        <w:tab/>
      </w:r>
      <w:r w:rsidR="00951A71" w:rsidRPr="00310690">
        <w:rPr>
          <w:rFonts w:cs="Arial"/>
        </w:rPr>
        <w:tab/>
      </w:r>
      <w:r w:rsidR="00951A71" w:rsidRPr="00310690">
        <w:rPr>
          <w:rFonts w:cs="Arial"/>
        </w:rPr>
        <w:tab/>
      </w:r>
      <w:r w:rsidR="00951A71" w:rsidRPr="00310690">
        <w:rPr>
          <w:rFonts w:cs="Arial"/>
        </w:rPr>
        <w:tab/>
      </w:r>
      <w:r w:rsidR="00951A71" w:rsidRPr="00310690">
        <w:rPr>
          <w:rFonts w:cs="Arial"/>
        </w:rPr>
        <w:tab/>
      </w:r>
      <w:r w:rsidR="00682DCC" w:rsidRPr="00310690">
        <w:rPr>
          <w:rFonts w:cs="Arial"/>
        </w:rPr>
        <w:tab/>
      </w:r>
      <w:r w:rsidR="00682DCC" w:rsidRPr="00310690">
        <w:rPr>
          <w:rFonts w:cs="Arial"/>
        </w:rPr>
        <w:tab/>
      </w:r>
      <w:r w:rsidR="00682DCC" w:rsidRPr="00310690">
        <w:rPr>
          <w:rFonts w:cs="Arial"/>
        </w:rPr>
        <w:tab/>
      </w:r>
      <w:r w:rsidR="00682DCC" w:rsidRPr="00310690">
        <w:rPr>
          <w:rFonts w:cs="Arial"/>
        </w:rPr>
        <w:tab/>
      </w:r>
      <w:r w:rsidR="001C2236" w:rsidRPr="00310690">
        <w:rPr>
          <w:rFonts w:cs="Arial"/>
        </w:rPr>
        <w:t>–</w:t>
      </w:r>
      <w:r w:rsidR="00951A71" w:rsidRPr="00310690">
        <w:rPr>
          <w:rFonts w:cs="Arial"/>
        </w:rPr>
        <w:t xml:space="preserve"> za objavu, odmah </w:t>
      </w:r>
      <w:r w:rsidR="001C2236" w:rsidRPr="00310690">
        <w:rPr>
          <w:rFonts w:cs="Arial"/>
        </w:rPr>
        <w:t>–</w:t>
      </w:r>
    </w:p>
    <w:p w:rsidR="00951A71" w:rsidRPr="00310690" w:rsidRDefault="00951A71" w:rsidP="009270F2">
      <w:pPr>
        <w:rPr>
          <w:rFonts w:cs="Arial"/>
        </w:rPr>
      </w:pPr>
    </w:p>
    <w:p w:rsidR="0030749A" w:rsidRPr="00310690" w:rsidRDefault="0030749A" w:rsidP="009270F2">
      <w:pPr>
        <w:rPr>
          <w:rFonts w:cs="Arial"/>
        </w:rPr>
      </w:pPr>
    </w:p>
    <w:p w:rsidR="00682DCC" w:rsidRPr="00310690" w:rsidRDefault="00682DCC" w:rsidP="009270F2">
      <w:pPr>
        <w:rPr>
          <w:rFonts w:cs="Arial"/>
        </w:rPr>
      </w:pPr>
    </w:p>
    <w:p w:rsidR="00951A71" w:rsidRPr="00310690" w:rsidRDefault="00A87482" w:rsidP="009270F2">
      <w:pPr>
        <w:jc w:val="center"/>
        <w:rPr>
          <w:rFonts w:cs="Arial"/>
        </w:rPr>
      </w:pPr>
      <w:r w:rsidRPr="00310690">
        <w:rPr>
          <w:rFonts w:cs="Arial"/>
        </w:rPr>
        <w:t>PRIOPĆENJE ZA MEDIJE</w:t>
      </w:r>
    </w:p>
    <w:p w:rsidR="00951A71" w:rsidRPr="00310690" w:rsidRDefault="00951A71" w:rsidP="009270F2">
      <w:pPr>
        <w:jc w:val="center"/>
        <w:rPr>
          <w:rFonts w:cs="Arial"/>
        </w:rPr>
      </w:pPr>
    </w:p>
    <w:p w:rsidR="00951A71" w:rsidRPr="00310690" w:rsidRDefault="00951A71" w:rsidP="009270F2">
      <w:pPr>
        <w:jc w:val="center"/>
        <w:rPr>
          <w:rFonts w:cs="Arial"/>
          <w:b/>
        </w:rPr>
      </w:pPr>
      <w:r w:rsidRPr="00310690">
        <w:rPr>
          <w:rFonts w:cs="Arial"/>
          <w:b/>
        </w:rPr>
        <w:t>DOSTAVA IZVJEŠĆA HRVATSKOM SABORU</w:t>
      </w:r>
    </w:p>
    <w:p w:rsidR="00951A71" w:rsidRPr="00310690" w:rsidRDefault="00951A71" w:rsidP="009270F2">
      <w:pPr>
        <w:jc w:val="center"/>
        <w:rPr>
          <w:rFonts w:cs="Arial"/>
        </w:rPr>
      </w:pPr>
    </w:p>
    <w:p w:rsidR="00951A71" w:rsidRPr="00310690" w:rsidRDefault="00951A71" w:rsidP="009270F2">
      <w:pPr>
        <w:rPr>
          <w:rFonts w:cs="Arial"/>
        </w:rPr>
      </w:pPr>
    </w:p>
    <w:p w:rsidR="009829EA" w:rsidRPr="00310690" w:rsidRDefault="00942B04" w:rsidP="009270F2">
      <w:pPr>
        <w:tabs>
          <w:tab w:val="left" w:pos="567"/>
        </w:tabs>
        <w:rPr>
          <w:rFonts w:cs="Arial"/>
          <w:b/>
        </w:rPr>
      </w:pPr>
      <w:r w:rsidRPr="00310690">
        <w:rPr>
          <w:rFonts w:cs="Arial"/>
        </w:rPr>
        <w:tab/>
      </w:r>
      <w:r w:rsidR="00951A71" w:rsidRPr="00310690">
        <w:rPr>
          <w:rFonts w:cs="Arial"/>
        </w:rPr>
        <w:t xml:space="preserve">Državni ured za reviziju </w:t>
      </w:r>
      <w:r w:rsidR="00EE4F46" w:rsidRPr="00310690">
        <w:rPr>
          <w:rFonts w:cs="Arial"/>
        </w:rPr>
        <w:t xml:space="preserve">(dalje u tekstu: Ured) </w:t>
      </w:r>
      <w:r w:rsidR="00C11533" w:rsidRPr="00310690">
        <w:rPr>
          <w:rFonts w:cs="Arial"/>
        </w:rPr>
        <w:t>20</w:t>
      </w:r>
      <w:r w:rsidR="00F45FA5" w:rsidRPr="00310690">
        <w:rPr>
          <w:rFonts w:cs="Arial"/>
        </w:rPr>
        <w:t xml:space="preserve">. </w:t>
      </w:r>
      <w:r w:rsidR="007C3102" w:rsidRPr="00310690">
        <w:rPr>
          <w:rFonts w:cs="Arial"/>
        </w:rPr>
        <w:t>prosinca</w:t>
      </w:r>
      <w:r w:rsidR="00F45FA5" w:rsidRPr="00310690">
        <w:rPr>
          <w:rFonts w:cs="Arial"/>
        </w:rPr>
        <w:t xml:space="preserve"> </w:t>
      </w:r>
      <w:r w:rsidR="00951A71" w:rsidRPr="00310690">
        <w:rPr>
          <w:rFonts w:cs="Arial"/>
        </w:rPr>
        <w:t>20</w:t>
      </w:r>
      <w:r w:rsidR="00D1646C" w:rsidRPr="00310690">
        <w:rPr>
          <w:rFonts w:cs="Arial"/>
        </w:rPr>
        <w:t>2</w:t>
      </w:r>
      <w:r w:rsidR="00C11533" w:rsidRPr="00310690">
        <w:rPr>
          <w:rFonts w:cs="Arial"/>
        </w:rPr>
        <w:t>3</w:t>
      </w:r>
      <w:r w:rsidR="00951A71" w:rsidRPr="00310690">
        <w:rPr>
          <w:rFonts w:cs="Arial"/>
        </w:rPr>
        <w:t>. dostavio</w:t>
      </w:r>
      <w:r w:rsidR="003616FD" w:rsidRPr="00310690">
        <w:rPr>
          <w:rFonts w:cs="Arial"/>
        </w:rPr>
        <w:t xml:space="preserve"> je</w:t>
      </w:r>
      <w:r w:rsidR="00951A71" w:rsidRPr="00310690">
        <w:rPr>
          <w:rFonts w:cs="Arial"/>
        </w:rPr>
        <w:t xml:space="preserve"> </w:t>
      </w:r>
      <w:r w:rsidR="00951A71" w:rsidRPr="00310690">
        <w:rPr>
          <w:rFonts w:cs="Arial"/>
          <w:b/>
        </w:rPr>
        <w:t>Hrvatskom saboru</w:t>
      </w:r>
      <w:r w:rsidR="00310DC0" w:rsidRPr="00310690">
        <w:rPr>
          <w:rFonts w:cs="Arial"/>
        </w:rPr>
        <w:t>:</w:t>
      </w:r>
    </w:p>
    <w:p w:rsidR="006524DB" w:rsidRPr="00310690" w:rsidRDefault="006524DB" w:rsidP="009270F2">
      <w:pPr>
        <w:tabs>
          <w:tab w:val="left" w:pos="567"/>
        </w:tabs>
        <w:rPr>
          <w:rFonts w:cs="Arial"/>
          <w:b/>
        </w:rPr>
      </w:pPr>
    </w:p>
    <w:p w:rsidR="006D656A" w:rsidRPr="00310690" w:rsidRDefault="006524DB" w:rsidP="009270F2">
      <w:pPr>
        <w:tabs>
          <w:tab w:val="left" w:pos="567"/>
          <w:tab w:val="left" w:pos="993"/>
        </w:tabs>
        <w:ind w:left="567" w:hanging="567"/>
        <w:rPr>
          <w:rFonts w:cs="Arial"/>
        </w:rPr>
      </w:pPr>
      <w:r w:rsidRPr="00310690">
        <w:rPr>
          <w:rFonts w:cs="Arial"/>
        </w:rPr>
        <w:t>–</w:t>
      </w:r>
      <w:r w:rsidRPr="00310690">
        <w:rPr>
          <w:rFonts w:cs="Arial"/>
        </w:rPr>
        <w:tab/>
      </w:r>
      <w:r w:rsidR="006D656A" w:rsidRPr="00310690">
        <w:rPr>
          <w:rFonts w:cs="Arial"/>
        </w:rPr>
        <w:t xml:space="preserve">Objedinjeno izvješće o obavljenim </w:t>
      </w:r>
      <w:r w:rsidR="006D656A" w:rsidRPr="00310690">
        <w:rPr>
          <w:rFonts w:cs="Arial"/>
          <w:b/>
        </w:rPr>
        <w:t>financijskim revizijama političkih stranaka i nezavisnih zastupnika za 202</w:t>
      </w:r>
      <w:r w:rsidR="00C11533" w:rsidRPr="00310690">
        <w:rPr>
          <w:rFonts w:cs="Arial"/>
          <w:b/>
        </w:rPr>
        <w:t>2</w:t>
      </w:r>
      <w:r w:rsidR="006D656A" w:rsidRPr="00310690">
        <w:rPr>
          <w:rFonts w:cs="Arial"/>
          <w:b/>
        </w:rPr>
        <w:t>.</w:t>
      </w:r>
      <w:r w:rsidR="006D656A" w:rsidRPr="00310690">
        <w:rPr>
          <w:rFonts w:cs="Arial"/>
        </w:rPr>
        <w:t xml:space="preserve">, u čijem </w:t>
      </w:r>
      <w:r w:rsidR="00C11533" w:rsidRPr="00310690">
        <w:rPr>
          <w:rFonts w:cs="Arial"/>
        </w:rPr>
        <w:t>su</w:t>
      </w:r>
      <w:r w:rsidR="006D656A" w:rsidRPr="00310690">
        <w:rPr>
          <w:rFonts w:cs="Arial"/>
        </w:rPr>
        <w:t xml:space="preserve"> prilogu </w:t>
      </w:r>
      <w:r w:rsidR="00C11533" w:rsidRPr="00310690">
        <w:rPr>
          <w:rFonts w:cs="Arial"/>
        </w:rPr>
        <w:t>53</w:t>
      </w:r>
      <w:r w:rsidR="006D656A" w:rsidRPr="00310690">
        <w:rPr>
          <w:rFonts w:cs="Arial"/>
        </w:rPr>
        <w:t xml:space="preserve"> pojedinačn</w:t>
      </w:r>
      <w:r w:rsidR="00C86BBB">
        <w:rPr>
          <w:rFonts w:cs="Arial"/>
        </w:rPr>
        <w:t>a</w:t>
      </w:r>
      <w:r w:rsidR="006D656A" w:rsidRPr="00310690">
        <w:rPr>
          <w:rFonts w:cs="Arial"/>
        </w:rPr>
        <w:t xml:space="preserve"> izvješća</w:t>
      </w:r>
    </w:p>
    <w:p w:rsidR="006D656A" w:rsidRPr="00310690" w:rsidRDefault="006D656A" w:rsidP="009270F2">
      <w:pPr>
        <w:tabs>
          <w:tab w:val="left" w:pos="567"/>
          <w:tab w:val="left" w:pos="993"/>
        </w:tabs>
        <w:ind w:left="567" w:hanging="567"/>
        <w:rPr>
          <w:rFonts w:cs="Arial"/>
        </w:rPr>
      </w:pPr>
    </w:p>
    <w:p w:rsidR="006D656A" w:rsidRPr="00310690" w:rsidRDefault="006D656A" w:rsidP="00C11533">
      <w:pPr>
        <w:tabs>
          <w:tab w:val="left" w:pos="567"/>
          <w:tab w:val="left" w:pos="993"/>
        </w:tabs>
        <w:ind w:left="567" w:hanging="567"/>
        <w:rPr>
          <w:rFonts w:cs="Arial"/>
        </w:rPr>
      </w:pPr>
      <w:r w:rsidRPr="00310690">
        <w:rPr>
          <w:rFonts w:cs="Arial"/>
        </w:rPr>
        <w:t>–</w:t>
      </w:r>
      <w:r w:rsidRPr="00310690">
        <w:rPr>
          <w:rFonts w:cs="Arial"/>
        </w:rPr>
        <w:tab/>
      </w:r>
      <w:r w:rsidR="00C11533" w:rsidRPr="00310690">
        <w:rPr>
          <w:rFonts w:cs="Arial"/>
        </w:rPr>
        <w:t xml:space="preserve">Objedinjeno izvješće </w:t>
      </w:r>
      <w:r w:rsidR="0004186B">
        <w:rPr>
          <w:rFonts w:cs="Arial"/>
        </w:rPr>
        <w:t xml:space="preserve">o </w:t>
      </w:r>
      <w:r w:rsidR="00C11533" w:rsidRPr="00310690">
        <w:rPr>
          <w:rFonts w:cs="Arial"/>
        </w:rPr>
        <w:t xml:space="preserve">obavljenim </w:t>
      </w:r>
      <w:r w:rsidR="00C11533" w:rsidRPr="00310690">
        <w:rPr>
          <w:rFonts w:cs="Arial"/>
          <w:b/>
        </w:rPr>
        <w:t>revizijama učinkovitosti upravljanja građevinama za navodnjavanje i mješovitim melioracijskim građevinama u Republici Hrvatsko</w:t>
      </w:r>
      <w:r w:rsidR="00C11533" w:rsidRPr="00310690">
        <w:rPr>
          <w:rFonts w:cs="Arial"/>
        </w:rPr>
        <w:t>j, u čijem je prilogu 12 pojedi</w:t>
      </w:r>
      <w:r w:rsidR="0004186B">
        <w:rPr>
          <w:rFonts w:cs="Arial"/>
        </w:rPr>
        <w:t>načnih izvješća</w:t>
      </w:r>
    </w:p>
    <w:p w:rsidR="006D656A" w:rsidRPr="00310690" w:rsidRDefault="006D656A" w:rsidP="009270F2">
      <w:pPr>
        <w:tabs>
          <w:tab w:val="left" w:pos="567"/>
          <w:tab w:val="left" w:pos="993"/>
        </w:tabs>
        <w:ind w:left="567" w:hanging="567"/>
        <w:rPr>
          <w:rFonts w:cs="Arial"/>
        </w:rPr>
      </w:pPr>
    </w:p>
    <w:p w:rsidR="00DA7D59" w:rsidRPr="00310690" w:rsidRDefault="006D656A" w:rsidP="00E62BCB">
      <w:pPr>
        <w:ind w:left="567" w:hanging="567"/>
        <w:rPr>
          <w:rFonts w:cs="Arial"/>
        </w:rPr>
      </w:pPr>
      <w:r w:rsidRPr="00310690">
        <w:rPr>
          <w:rFonts w:cs="Arial"/>
        </w:rPr>
        <w:t>–</w:t>
      </w:r>
      <w:r w:rsidRPr="00310690">
        <w:rPr>
          <w:rFonts w:cs="Arial"/>
        </w:rPr>
        <w:tab/>
      </w:r>
      <w:r w:rsidR="00C86F28" w:rsidRPr="00310690">
        <w:rPr>
          <w:rFonts w:cs="Arial"/>
        </w:rPr>
        <w:t>devet</w:t>
      </w:r>
      <w:r w:rsidR="003C1501" w:rsidRPr="00310690">
        <w:rPr>
          <w:rFonts w:cs="Arial"/>
        </w:rPr>
        <w:t xml:space="preserve"> izvješća o obavljenoj </w:t>
      </w:r>
      <w:r w:rsidR="003C1501" w:rsidRPr="00310690">
        <w:rPr>
          <w:rFonts w:cs="Arial"/>
          <w:b/>
        </w:rPr>
        <w:t>financijskoj reviziji</w:t>
      </w:r>
      <w:r w:rsidR="003C1501" w:rsidRPr="00310690">
        <w:rPr>
          <w:rFonts w:cs="Arial"/>
        </w:rPr>
        <w:t xml:space="preserve"> koja se odnose na </w:t>
      </w:r>
      <w:r w:rsidR="00C86F28" w:rsidRPr="00310690">
        <w:rPr>
          <w:rFonts w:cs="Arial"/>
          <w:b/>
        </w:rPr>
        <w:t>šest jedinica lokalne i područne (regionalne) samouprave</w:t>
      </w:r>
      <w:r w:rsidR="003C1501" w:rsidRPr="00310690">
        <w:rPr>
          <w:rFonts w:cs="Arial"/>
          <w:b/>
        </w:rPr>
        <w:t xml:space="preserve"> </w:t>
      </w:r>
      <w:r w:rsidR="003C1501" w:rsidRPr="00310690">
        <w:rPr>
          <w:rFonts w:cs="Arial"/>
        </w:rPr>
        <w:t>(</w:t>
      </w:r>
      <w:r w:rsidR="00C86F28" w:rsidRPr="00310690">
        <w:rPr>
          <w:rFonts w:cs="Arial"/>
        </w:rPr>
        <w:t xml:space="preserve">Krapinsko-zagorska županija, gradovi Šibenik i Zabok te tri općine: Donji </w:t>
      </w:r>
      <w:proofErr w:type="spellStart"/>
      <w:r w:rsidR="00C86F28" w:rsidRPr="00310690">
        <w:rPr>
          <w:rFonts w:cs="Arial"/>
        </w:rPr>
        <w:t>Andrijevci</w:t>
      </w:r>
      <w:proofErr w:type="spellEnd"/>
      <w:r w:rsidR="00C86F28" w:rsidRPr="00310690">
        <w:rPr>
          <w:rFonts w:cs="Arial"/>
        </w:rPr>
        <w:t xml:space="preserve">, Kumrovec i </w:t>
      </w:r>
      <w:proofErr w:type="spellStart"/>
      <w:r w:rsidR="00C86F28" w:rsidRPr="00310690">
        <w:rPr>
          <w:rFonts w:cs="Arial"/>
        </w:rPr>
        <w:t>Seget</w:t>
      </w:r>
      <w:proofErr w:type="spellEnd"/>
      <w:r w:rsidR="00E62BCB" w:rsidRPr="00310690">
        <w:rPr>
          <w:rFonts w:cs="Arial"/>
        </w:rPr>
        <w:t>)</w:t>
      </w:r>
      <w:r w:rsidR="00892057" w:rsidRPr="00310690">
        <w:rPr>
          <w:rFonts w:cs="Arial"/>
        </w:rPr>
        <w:t xml:space="preserve"> </w:t>
      </w:r>
      <w:r w:rsidR="00E62BCB" w:rsidRPr="00310690">
        <w:rPr>
          <w:rFonts w:cs="Arial"/>
        </w:rPr>
        <w:t xml:space="preserve">te </w:t>
      </w:r>
      <w:r w:rsidR="00C86F28" w:rsidRPr="00310690">
        <w:rPr>
          <w:rFonts w:cs="Arial"/>
          <w:b/>
        </w:rPr>
        <w:t>tri</w:t>
      </w:r>
      <w:r w:rsidR="003C1501" w:rsidRPr="00310690">
        <w:rPr>
          <w:rFonts w:cs="Arial"/>
          <w:b/>
        </w:rPr>
        <w:t xml:space="preserve"> trgovačk</w:t>
      </w:r>
      <w:r w:rsidR="00C86F28" w:rsidRPr="00310690">
        <w:rPr>
          <w:rFonts w:cs="Arial"/>
          <w:b/>
        </w:rPr>
        <w:t>a</w:t>
      </w:r>
      <w:r w:rsidR="003C1501" w:rsidRPr="00310690">
        <w:rPr>
          <w:rFonts w:cs="Arial"/>
          <w:b/>
        </w:rPr>
        <w:t xml:space="preserve"> društv</w:t>
      </w:r>
      <w:r w:rsidR="00C86F28" w:rsidRPr="00310690">
        <w:rPr>
          <w:rFonts w:cs="Arial"/>
          <w:b/>
        </w:rPr>
        <w:t>a</w:t>
      </w:r>
      <w:r w:rsidR="003C1501" w:rsidRPr="00310690">
        <w:rPr>
          <w:rFonts w:cs="Arial"/>
          <w:b/>
        </w:rPr>
        <w:t xml:space="preserve"> u vlasništvu lokal</w:t>
      </w:r>
      <w:r w:rsidR="00C86F28" w:rsidRPr="00310690">
        <w:rPr>
          <w:rFonts w:cs="Arial"/>
          <w:b/>
        </w:rPr>
        <w:t xml:space="preserve">nih </w:t>
      </w:r>
      <w:r w:rsidR="003C1501" w:rsidRPr="00310690">
        <w:rPr>
          <w:rFonts w:cs="Arial"/>
          <w:b/>
        </w:rPr>
        <w:t>jedinic</w:t>
      </w:r>
      <w:r w:rsidR="00C86F28" w:rsidRPr="00310690">
        <w:rPr>
          <w:rFonts w:cs="Arial"/>
          <w:b/>
        </w:rPr>
        <w:t>a</w:t>
      </w:r>
      <w:r w:rsidR="003C1501" w:rsidRPr="00310690">
        <w:rPr>
          <w:rFonts w:cs="Arial"/>
        </w:rPr>
        <w:t xml:space="preserve"> (</w:t>
      </w:r>
      <w:r w:rsidR="00C86F28" w:rsidRPr="00310690">
        <w:rPr>
          <w:rFonts w:cs="Arial"/>
        </w:rPr>
        <w:t>Čistoća Cetinske krajine d.o.o</w:t>
      </w:r>
      <w:r w:rsidR="0004186B">
        <w:rPr>
          <w:rFonts w:cs="Arial"/>
        </w:rPr>
        <w:t>., Sinj, Našički vodovod d.o.o. i</w:t>
      </w:r>
      <w:r w:rsidR="00C86F28" w:rsidRPr="00310690">
        <w:rPr>
          <w:rFonts w:cs="Arial"/>
        </w:rPr>
        <w:t xml:space="preserve"> Vodovod Dubrovnik d.o.o.)</w:t>
      </w:r>
      <w:r w:rsidR="003C1501" w:rsidRPr="00310690">
        <w:rPr>
          <w:rFonts w:cs="Arial"/>
        </w:rPr>
        <w:t xml:space="preserve"> </w:t>
      </w:r>
    </w:p>
    <w:p w:rsidR="00C86F28" w:rsidRPr="00310690" w:rsidRDefault="00C86F28" w:rsidP="00E62BCB">
      <w:pPr>
        <w:ind w:left="567" w:hanging="567"/>
        <w:rPr>
          <w:rFonts w:cs="Arial"/>
        </w:rPr>
      </w:pPr>
    </w:p>
    <w:p w:rsidR="003C1501" w:rsidRPr="00310690" w:rsidRDefault="003C1501" w:rsidP="009270F2">
      <w:pPr>
        <w:tabs>
          <w:tab w:val="left" w:pos="567"/>
          <w:tab w:val="left" w:pos="993"/>
        </w:tabs>
        <w:ind w:left="567" w:hanging="567"/>
        <w:rPr>
          <w:rFonts w:cs="Arial"/>
        </w:rPr>
      </w:pPr>
      <w:r w:rsidRPr="00310690">
        <w:rPr>
          <w:rFonts w:cs="Arial"/>
        </w:rPr>
        <w:t>–</w:t>
      </w:r>
      <w:r w:rsidRPr="00310690">
        <w:rPr>
          <w:rFonts w:cs="Arial"/>
        </w:rPr>
        <w:tab/>
      </w:r>
      <w:r w:rsidR="00C86F28" w:rsidRPr="00310690">
        <w:rPr>
          <w:rFonts w:cs="Arial"/>
        </w:rPr>
        <w:t>te jedno</w:t>
      </w:r>
      <w:r w:rsidRPr="00310690">
        <w:rPr>
          <w:rFonts w:cs="Arial"/>
        </w:rPr>
        <w:t xml:space="preserve"> izvješć</w:t>
      </w:r>
      <w:r w:rsidR="00C86F28" w:rsidRPr="00310690">
        <w:rPr>
          <w:rFonts w:cs="Arial"/>
        </w:rPr>
        <w:t>e</w:t>
      </w:r>
      <w:r w:rsidRPr="00310690">
        <w:rPr>
          <w:rFonts w:cs="Arial"/>
        </w:rPr>
        <w:t xml:space="preserve"> o </w:t>
      </w:r>
      <w:r w:rsidRPr="00310690">
        <w:rPr>
          <w:rFonts w:cs="Arial"/>
          <w:b/>
        </w:rPr>
        <w:t xml:space="preserve">obavljenoj </w:t>
      </w:r>
      <w:r w:rsidR="00C86F28" w:rsidRPr="00310690">
        <w:rPr>
          <w:rFonts w:cs="Arial"/>
          <w:b/>
        </w:rPr>
        <w:t>reviziji usklađenosti</w:t>
      </w:r>
      <w:r w:rsidR="00C86F28" w:rsidRPr="00310690">
        <w:rPr>
          <w:rFonts w:cs="Arial"/>
        </w:rPr>
        <w:t xml:space="preserve"> koje se odnosi na proračunskog korisnika državnog proračuna</w:t>
      </w:r>
      <w:r w:rsidR="00C86BBB">
        <w:rPr>
          <w:rFonts w:cs="Arial"/>
        </w:rPr>
        <w:t>,</w:t>
      </w:r>
      <w:r w:rsidR="00C86F28" w:rsidRPr="00310690">
        <w:rPr>
          <w:rFonts w:cs="Arial"/>
        </w:rPr>
        <w:t xml:space="preserve"> Hrvatsku energetsku regulatornu agenciju.</w:t>
      </w:r>
    </w:p>
    <w:p w:rsidR="003C1501" w:rsidRPr="00310690" w:rsidRDefault="003C1501" w:rsidP="009270F2">
      <w:pPr>
        <w:tabs>
          <w:tab w:val="left" w:pos="284"/>
          <w:tab w:val="left" w:pos="426"/>
          <w:tab w:val="left" w:pos="993"/>
        </w:tabs>
        <w:rPr>
          <w:rFonts w:cs="Arial"/>
          <w:b/>
        </w:rPr>
      </w:pPr>
    </w:p>
    <w:p w:rsidR="000206A8" w:rsidRDefault="00D60BCD" w:rsidP="009270F2">
      <w:pPr>
        <w:tabs>
          <w:tab w:val="left" w:pos="567"/>
        </w:tabs>
        <w:rPr>
          <w:rFonts w:cs="Arial"/>
        </w:rPr>
      </w:pPr>
      <w:r w:rsidRPr="00310690">
        <w:rPr>
          <w:rFonts w:cs="Arial"/>
        </w:rPr>
        <w:tab/>
        <w:t xml:space="preserve">Izvješća su istoga dana objavljena na mrežnim stranicama </w:t>
      </w:r>
      <w:r w:rsidR="002A02AC" w:rsidRPr="00310690">
        <w:rPr>
          <w:rFonts w:cs="Arial"/>
        </w:rPr>
        <w:t>Ureda</w:t>
      </w:r>
      <w:r w:rsidRPr="00310690">
        <w:rPr>
          <w:rFonts w:cs="Arial"/>
        </w:rPr>
        <w:t xml:space="preserve">, </w:t>
      </w:r>
      <w:hyperlink r:id="rId9" w:history="1">
        <w:r w:rsidR="002A02AC" w:rsidRPr="00310690">
          <w:rPr>
            <w:rStyle w:val="Hiperveza"/>
            <w:rFonts w:cs="Arial"/>
          </w:rPr>
          <w:t>www.revizija.hr</w:t>
        </w:r>
      </w:hyperlink>
      <w:r w:rsidR="0038492C" w:rsidRPr="00310690">
        <w:rPr>
          <w:rFonts w:cs="Arial"/>
        </w:rPr>
        <w:t>,</w:t>
      </w:r>
      <w:r w:rsidR="002A02AC" w:rsidRPr="00310690">
        <w:rPr>
          <w:rFonts w:cs="Arial"/>
        </w:rPr>
        <w:t xml:space="preserve"> </w:t>
      </w:r>
      <w:r w:rsidR="008E0292" w:rsidRPr="00310690">
        <w:rPr>
          <w:rStyle w:val="Hiperveza"/>
          <w:rFonts w:cs="Arial"/>
          <w:color w:val="auto"/>
          <w:u w:val="none"/>
        </w:rPr>
        <w:t xml:space="preserve">te </w:t>
      </w:r>
      <w:r w:rsidR="000206A8" w:rsidRPr="00310690">
        <w:rPr>
          <w:rFonts w:cs="Arial"/>
        </w:rPr>
        <w:t>dostavljena</w:t>
      </w:r>
      <w:r w:rsidR="00604F6F" w:rsidRPr="00310690">
        <w:rPr>
          <w:rFonts w:cs="Arial"/>
          <w:b/>
        </w:rPr>
        <w:t xml:space="preserve"> </w:t>
      </w:r>
      <w:r w:rsidR="000206A8" w:rsidRPr="00310690">
        <w:rPr>
          <w:rFonts w:cs="Arial"/>
          <w:b/>
        </w:rPr>
        <w:t>Državnom</w:t>
      </w:r>
      <w:r w:rsidR="008E0292" w:rsidRPr="00310690">
        <w:rPr>
          <w:rFonts w:cs="Arial"/>
          <w:b/>
        </w:rPr>
        <w:t xml:space="preserve"> </w:t>
      </w:r>
      <w:r w:rsidR="000206A8" w:rsidRPr="00310690">
        <w:rPr>
          <w:rFonts w:cs="Arial"/>
          <w:b/>
        </w:rPr>
        <w:t>odvjetništvu Republike Hrvatske</w:t>
      </w:r>
      <w:r w:rsidR="000206A8" w:rsidRPr="00310690">
        <w:rPr>
          <w:rFonts w:cs="Arial"/>
        </w:rPr>
        <w:t>.</w:t>
      </w:r>
    </w:p>
    <w:p w:rsidR="004421D6" w:rsidRPr="00310690" w:rsidRDefault="004421D6" w:rsidP="009270F2">
      <w:pPr>
        <w:tabs>
          <w:tab w:val="left" w:pos="567"/>
        </w:tabs>
        <w:rPr>
          <w:rFonts w:cs="Arial"/>
        </w:rPr>
      </w:pPr>
    </w:p>
    <w:p w:rsidR="00A54FF9" w:rsidRPr="00310690" w:rsidRDefault="00E079C0" w:rsidP="00A54FF9">
      <w:pPr>
        <w:tabs>
          <w:tab w:val="left" w:pos="567"/>
        </w:tabs>
        <w:rPr>
          <w:rFonts w:cs="Arial"/>
        </w:rPr>
      </w:pPr>
      <w:r w:rsidRPr="00310690">
        <w:rPr>
          <w:rFonts w:cs="Arial"/>
        </w:rPr>
        <w:tab/>
      </w:r>
      <w:r w:rsidR="002A4F02" w:rsidRPr="00310690">
        <w:rPr>
          <w:rFonts w:cs="Arial"/>
        </w:rPr>
        <w:t>Osim izvješća o obavljenoj revizij</w:t>
      </w:r>
      <w:r w:rsidR="00CB27FC" w:rsidRPr="00310690">
        <w:rPr>
          <w:rFonts w:cs="Arial"/>
        </w:rPr>
        <w:t>i</w:t>
      </w:r>
      <w:r w:rsidR="007A77E2" w:rsidRPr="00310690">
        <w:rPr>
          <w:rFonts w:cs="Arial"/>
        </w:rPr>
        <w:t xml:space="preserve">, DORH-u </w:t>
      </w:r>
      <w:r w:rsidR="00343D86" w:rsidRPr="00310690">
        <w:rPr>
          <w:rFonts w:cs="Arial"/>
        </w:rPr>
        <w:t>su</w:t>
      </w:r>
      <w:r w:rsidR="007A77E2" w:rsidRPr="00310690">
        <w:rPr>
          <w:rFonts w:cs="Arial"/>
        </w:rPr>
        <w:t xml:space="preserve"> dostavljen</w:t>
      </w:r>
      <w:r w:rsidR="00343D86" w:rsidRPr="00310690">
        <w:rPr>
          <w:rFonts w:cs="Arial"/>
        </w:rPr>
        <w:t>e</w:t>
      </w:r>
      <w:r w:rsidR="007A77E2" w:rsidRPr="00310690">
        <w:rPr>
          <w:rFonts w:cs="Arial"/>
        </w:rPr>
        <w:t xml:space="preserve"> </w:t>
      </w:r>
      <w:r w:rsidR="006A0856" w:rsidRPr="00310690">
        <w:rPr>
          <w:rFonts w:cs="Arial"/>
        </w:rPr>
        <w:t xml:space="preserve">obavijesti </w:t>
      </w:r>
      <w:r w:rsidR="00A54FF9" w:rsidRPr="00310690">
        <w:rPr>
          <w:rFonts w:cs="Arial"/>
        </w:rPr>
        <w:t>i dokumentacija za sve subjekte koji nisu proveli naloge i preporuke u rokovima i na način naveden u planu provedbe naloga i preporuka</w:t>
      </w:r>
      <w:r w:rsidR="00A54FF9" w:rsidRPr="003D0DFC">
        <w:rPr>
          <w:rFonts w:cs="Arial"/>
        </w:rPr>
        <w:t>, odnosno za</w:t>
      </w:r>
      <w:r w:rsidR="003D0DFC" w:rsidRPr="003D0DFC">
        <w:rPr>
          <w:rFonts w:cs="Arial"/>
        </w:rPr>
        <w:t xml:space="preserve"> dvije lokalne jedinice, jedno ministarstvo,</w:t>
      </w:r>
      <w:r w:rsidR="00A54FF9" w:rsidRPr="003D0DFC">
        <w:rPr>
          <w:rFonts w:cs="Arial"/>
        </w:rPr>
        <w:t xml:space="preserve"> </w:t>
      </w:r>
      <w:r w:rsidR="003D0DFC" w:rsidRPr="003D0DFC">
        <w:rPr>
          <w:rFonts w:cs="Arial"/>
        </w:rPr>
        <w:t>3</w:t>
      </w:r>
      <w:r w:rsidR="00A54FF9" w:rsidRPr="003D0DFC">
        <w:rPr>
          <w:rFonts w:cs="Arial"/>
        </w:rPr>
        <w:t xml:space="preserve">2 političke stranke </w:t>
      </w:r>
      <w:r w:rsidR="003D0DFC" w:rsidRPr="003D0DFC">
        <w:rPr>
          <w:rFonts w:cs="Arial"/>
        </w:rPr>
        <w:t>i jednog nezavisnog</w:t>
      </w:r>
      <w:r w:rsidR="00A54FF9" w:rsidRPr="003D0DFC">
        <w:rPr>
          <w:rFonts w:cs="Arial"/>
        </w:rPr>
        <w:t xml:space="preserve"> zastupnika te za sve subjekte za koje j</w:t>
      </w:r>
      <w:r w:rsidR="00D561B9" w:rsidRPr="003D0DFC">
        <w:rPr>
          <w:rFonts w:cs="Arial"/>
        </w:rPr>
        <w:t xml:space="preserve">e Ured utvrdio nepravilnosti u </w:t>
      </w:r>
      <w:r w:rsidR="00A54FF9" w:rsidRPr="003D0DFC">
        <w:rPr>
          <w:rFonts w:cs="Arial"/>
        </w:rPr>
        <w:t xml:space="preserve">poslovanju koje imaju obilježja povrede Zakona o financiranju političkih aktivnosti, izborne promidžbe i referenduma, odnosno za </w:t>
      </w:r>
      <w:r w:rsidR="003D0DFC" w:rsidRPr="003D0DFC">
        <w:rPr>
          <w:rFonts w:cs="Arial"/>
        </w:rPr>
        <w:t>3</w:t>
      </w:r>
      <w:r w:rsidR="00A54FF9" w:rsidRPr="003D0DFC">
        <w:rPr>
          <w:rFonts w:cs="Arial"/>
        </w:rPr>
        <w:t>6 političkih stranaka i tri nezavisna zastupnika.</w:t>
      </w:r>
    </w:p>
    <w:p w:rsidR="00291F91" w:rsidRPr="00310690" w:rsidRDefault="00291F91" w:rsidP="00A54FF9">
      <w:pPr>
        <w:tabs>
          <w:tab w:val="left" w:pos="567"/>
        </w:tabs>
        <w:rPr>
          <w:rFonts w:cs="Arial"/>
        </w:rPr>
      </w:pPr>
    </w:p>
    <w:p w:rsidR="007A77E2" w:rsidRPr="00310690" w:rsidRDefault="00A54FF9" w:rsidP="00A54FF9">
      <w:pPr>
        <w:tabs>
          <w:tab w:val="left" w:pos="567"/>
        </w:tabs>
        <w:rPr>
          <w:rFonts w:cs="Arial"/>
        </w:rPr>
      </w:pPr>
      <w:r w:rsidRPr="00310690">
        <w:rPr>
          <w:rFonts w:cs="Arial"/>
        </w:rPr>
        <w:lastRenderedPageBreak/>
        <w:tab/>
      </w:r>
      <w:r w:rsidRPr="003D0DFC">
        <w:rPr>
          <w:rFonts w:cs="Arial"/>
        </w:rPr>
        <w:t>D</w:t>
      </w:r>
      <w:r w:rsidR="00CA0B6D" w:rsidRPr="003D0DFC">
        <w:rPr>
          <w:rFonts w:cs="Arial"/>
        </w:rPr>
        <w:t>ORH-u je d</w:t>
      </w:r>
      <w:r w:rsidR="007A77E2" w:rsidRPr="003D0DFC">
        <w:rPr>
          <w:rFonts w:cs="Arial"/>
        </w:rPr>
        <w:t xml:space="preserve">ostavljena </w:t>
      </w:r>
      <w:r w:rsidR="00CA0B6D" w:rsidRPr="003D0DFC">
        <w:rPr>
          <w:rFonts w:cs="Arial"/>
        </w:rPr>
        <w:t>i</w:t>
      </w:r>
      <w:r w:rsidR="007A77E2" w:rsidRPr="003D0DFC">
        <w:rPr>
          <w:rFonts w:cs="Arial"/>
        </w:rPr>
        <w:t xml:space="preserve"> cjelokupna dokumentacija prikupljena u </w:t>
      </w:r>
      <w:r w:rsidR="003D0DFC" w:rsidRPr="003D0DFC">
        <w:rPr>
          <w:rFonts w:cs="Arial"/>
        </w:rPr>
        <w:t>obavljanju</w:t>
      </w:r>
      <w:r w:rsidR="007A77E2" w:rsidRPr="003D0DFC">
        <w:rPr>
          <w:rFonts w:cs="Arial"/>
        </w:rPr>
        <w:t xml:space="preserve"> </w:t>
      </w:r>
      <w:r w:rsidR="00936BCB" w:rsidRPr="003D0DFC">
        <w:rPr>
          <w:rFonts w:cs="Arial"/>
        </w:rPr>
        <w:t>r</w:t>
      </w:r>
      <w:r w:rsidR="007A77E2" w:rsidRPr="003D0DFC">
        <w:rPr>
          <w:rFonts w:cs="Arial"/>
        </w:rPr>
        <w:t xml:space="preserve">evizije koja se odnosi na nepravilnosti utvrđene za </w:t>
      </w:r>
      <w:r w:rsidR="00C86F28" w:rsidRPr="003D0DFC">
        <w:rPr>
          <w:rFonts w:cs="Arial"/>
        </w:rPr>
        <w:t>Hrvatsku energetsku regulatornu agenciju</w:t>
      </w:r>
      <w:r w:rsidR="007A77E2" w:rsidRPr="003D0DFC">
        <w:rPr>
          <w:rFonts w:cs="Arial"/>
        </w:rPr>
        <w:t>, kojoj je izraženo nepovoljno mišljenje o usklađenosti poslovanja.</w:t>
      </w:r>
    </w:p>
    <w:p w:rsidR="007A77E2" w:rsidRPr="00310690" w:rsidRDefault="007A77E2" w:rsidP="009270F2">
      <w:pPr>
        <w:tabs>
          <w:tab w:val="left" w:pos="567"/>
        </w:tabs>
        <w:rPr>
          <w:rFonts w:cs="Arial"/>
          <w:b/>
        </w:rPr>
      </w:pPr>
    </w:p>
    <w:p w:rsidR="006524DB" w:rsidRPr="00310690" w:rsidRDefault="006524DB" w:rsidP="009270F2">
      <w:pPr>
        <w:pBdr>
          <w:bottom w:val="single" w:sz="4" w:space="1" w:color="auto"/>
        </w:pBdr>
        <w:tabs>
          <w:tab w:val="left" w:pos="567"/>
        </w:tabs>
        <w:rPr>
          <w:rFonts w:cs="Arial"/>
          <w:b/>
        </w:rPr>
      </w:pPr>
    </w:p>
    <w:p w:rsidR="00936BCB" w:rsidRPr="00310690" w:rsidRDefault="00936BCB" w:rsidP="009270F2">
      <w:pPr>
        <w:tabs>
          <w:tab w:val="left" w:pos="709"/>
          <w:tab w:val="left" w:pos="993"/>
        </w:tabs>
        <w:rPr>
          <w:rFonts w:cs="Arial"/>
          <w:b/>
        </w:rPr>
      </w:pPr>
    </w:p>
    <w:p w:rsidR="00437448" w:rsidRPr="00310690" w:rsidRDefault="00437448" w:rsidP="009270F2">
      <w:pPr>
        <w:tabs>
          <w:tab w:val="left" w:pos="709"/>
          <w:tab w:val="left" w:pos="993"/>
        </w:tabs>
        <w:rPr>
          <w:rFonts w:cs="Arial"/>
          <w:b/>
        </w:rPr>
      </w:pPr>
    </w:p>
    <w:p w:rsidR="00BE6193" w:rsidRPr="00310690" w:rsidRDefault="00AB13E8" w:rsidP="00AB13E8">
      <w:pPr>
        <w:shd w:val="clear" w:color="auto" w:fill="D9D9D9" w:themeFill="background1" w:themeFillShade="D9"/>
        <w:tabs>
          <w:tab w:val="left" w:pos="567"/>
          <w:tab w:val="left" w:pos="993"/>
        </w:tabs>
        <w:rPr>
          <w:rFonts w:cs="Arial"/>
          <w:b/>
        </w:rPr>
      </w:pPr>
      <w:r>
        <w:rPr>
          <w:rFonts w:cs="Arial"/>
          <w:b/>
        </w:rPr>
        <w:t>I.</w:t>
      </w:r>
      <w:r w:rsidR="00437448" w:rsidRPr="00310690">
        <w:rPr>
          <w:rFonts w:cs="Arial"/>
          <w:b/>
        </w:rPr>
        <w:tab/>
      </w:r>
      <w:r w:rsidR="00BE6193" w:rsidRPr="00AB13E8">
        <w:rPr>
          <w:rFonts w:cs="Arial"/>
          <w:b/>
        </w:rPr>
        <w:t>FINANCIJSKE REVIZIJE</w:t>
      </w:r>
    </w:p>
    <w:p w:rsidR="00BE6193" w:rsidRPr="00310690" w:rsidRDefault="00BE6193" w:rsidP="009270F2">
      <w:pPr>
        <w:tabs>
          <w:tab w:val="left" w:pos="709"/>
          <w:tab w:val="left" w:pos="993"/>
        </w:tabs>
        <w:ind w:firstLine="284"/>
        <w:rPr>
          <w:rFonts w:cs="Arial"/>
        </w:rPr>
      </w:pPr>
    </w:p>
    <w:p w:rsidR="00BE6193" w:rsidRPr="000336F3" w:rsidRDefault="00BE6193" w:rsidP="009270F2">
      <w:pPr>
        <w:tabs>
          <w:tab w:val="left" w:pos="284"/>
          <w:tab w:val="left" w:pos="567"/>
          <w:tab w:val="left" w:pos="851"/>
        </w:tabs>
        <w:ind w:firstLine="567"/>
        <w:rPr>
          <w:rFonts w:cs="Arial"/>
        </w:rPr>
      </w:pPr>
      <w:r w:rsidRPr="00310690">
        <w:rPr>
          <w:rFonts w:cs="Arial"/>
        </w:rPr>
        <w:t>Financijskim revizijama provjeravaju se</w:t>
      </w:r>
      <w:r w:rsidRPr="00310690">
        <w:rPr>
          <w:rFonts w:cs="Arial"/>
          <w:b/>
        </w:rPr>
        <w:t xml:space="preserve"> financijski izvještaji i usklađenost poslovanja s propisima i unutarnjim aktima</w:t>
      </w:r>
      <w:r w:rsidR="000336F3">
        <w:rPr>
          <w:rFonts w:cs="Arial"/>
          <w:b/>
        </w:rPr>
        <w:t xml:space="preserve"> i o tome izražavaju dva mišljenja </w:t>
      </w:r>
      <w:r w:rsidR="000336F3" w:rsidRPr="000336F3">
        <w:rPr>
          <w:rFonts w:cs="Arial"/>
        </w:rPr>
        <w:t>(</w:t>
      </w:r>
      <w:r w:rsidR="00E9759C">
        <w:rPr>
          <w:rFonts w:cs="Arial"/>
        </w:rPr>
        <w:t xml:space="preserve">mišljenje može biti </w:t>
      </w:r>
      <w:r w:rsidR="00E9759C">
        <w:rPr>
          <w:rFonts w:cs="Arial"/>
          <w:sz w:val="22"/>
          <w:szCs w:val="22"/>
        </w:rPr>
        <w:t>bezuvjetno,</w:t>
      </w:r>
      <w:r w:rsidR="000336F3" w:rsidRPr="000336F3">
        <w:rPr>
          <w:rFonts w:cs="Arial"/>
          <w:sz w:val="22"/>
          <w:szCs w:val="22"/>
        </w:rPr>
        <w:t xml:space="preserve"> uvjetno</w:t>
      </w:r>
      <w:r w:rsidR="00E9759C">
        <w:rPr>
          <w:rFonts w:cs="Arial"/>
          <w:sz w:val="22"/>
          <w:szCs w:val="22"/>
        </w:rPr>
        <w:t>, suzdržano,</w:t>
      </w:r>
      <w:r w:rsidR="000336F3" w:rsidRPr="000336F3">
        <w:rPr>
          <w:rFonts w:cs="Arial"/>
          <w:sz w:val="22"/>
          <w:szCs w:val="22"/>
        </w:rPr>
        <w:t xml:space="preserve"> nepovoljno)</w:t>
      </w:r>
      <w:r w:rsidRPr="000336F3">
        <w:rPr>
          <w:rFonts w:cs="Arial"/>
        </w:rPr>
        <w:t xml:space="preserve">. </w:t>
      </w:r>
    </w:p>
    <w:p w:rsidR="00BE6193" w:rsidRPr="00310690" w:rsidRDefault="00BE6193" w:rsidP="009270F2">
      <w:pPr>
        <w:tabs>
          <w:tab w:val="left" w:pos="284"/>
          <w:tab w:val="left" w:pos="567"/>
          <w:tab w:val="left" w:pos="851"/>
        </w:tabs>
        <w:rPr>
          <w:rFonts w:cs="Arial"/>
        </w:rPr>
      </w:pPr>
    </w:p>
    <w:p w:rsidR="002850AA" w:rsidRPr="00310690" w:rsidRDefault="002850AA" w:rsidP="00F06AF1">
      <w:pPr>
        <w:tabs>
          <w:tab w:val="left" w:pos="567"/>
        </w:tabs>
        <w:ind w:left="567"/>
        <w:rPr>
          <w:rFonts w:cs="Arial"/>
          <w:b/>
          <w:u w:val="single"/>
        </w:rPr>
      </w:pPr>
    </w:p>
    <w:p w:rsidR="00F06AF1" w:rsidRPr="00AB13E8" w:rsidRDefault="00AB13E8" w:rsidP="00AB13E8">
      <w:pPr>
        <w:shd w:val="clear" w:color="auto" w:fill="D9D9D9" w:themeFill="background1" w:themeFillShade="D9"/>
        <w:tabs>
          <w:tab w:val="left" w:pos="567"/>
        </w:tabs>
        <w:ind w:left="567" w:hanging="567"/>
        <w:rPr>
          <w:rFonts w:cs="Arial"/>
          <w:b/>
        </w:rPr>
      </w:pPr>
      <w:r>
        <w:rPr>
          <w:rFonts w:cs="Arial"/>
          <w:b/>
        </w:rPr>
        <w:tab/>
      </w:r>
      <w:r w:rsidR="00F06AF1" w:rsidRPr="00AB13E8">
        <w:rPr>
          <w:rFonts w:cs="Arial"/>
          <w:b/>
        </w:rPr>
        <w:t>Političke stranke i nezavisni zastupnici</w:t>
      </w:r>
    </w:p>
    <w:p w:rsidR="00F06AF1" w:rsidRPr="00310690" w:rsidRDefault="00F06AF1" w:rsidP="00F06AF1">
      <w:pPr>
        <w:tabs>
          <w:tab w:val="left" w:pos="567"/>
        </w:tabs>
        <w:rPr>
          <w:rFonts w:cs="Arial"/>
        </w:rPr>
      </w:pPr>
    </w:p>
    <w:p w:rsidR="00291F91" w:rsidRPr="00310690" w:rsidRDefault="00F06AF1" w:rsidP="00291F91">
      <w:pPr>
        <w:tabs>
          <w:tab w:val="left" w:pos="567"/>
        </w:tabs>
        <w:rPr>
          <w:rFonts w:cs="Arial"/>
          <w:b/>
        </w:rPr>
      </w:pPr>
      <w:r w:rsidRPr="00310690">
        <w:rPr>
          <w:rFonts w:cs="Arial"/>
        </w:rPr>
        <w:tab/>
        <w:t>Financijskom revizijom za 202</w:t>
      </w:r>
      <w:r w:rsidR="00902B3D" w:rsidRPr="00310690">
        <w:rPr>
          <w:rFonts w:cs="Arial"/>
        </w:rPr>
        <w:t>2</w:t>
      </w:r>
      <w:r w:rsidRPr="00310690">
        <w:rPr>
          <w:rFonts w:cs="Arial"/>
        </w:rPr>
        <w:t xml:space="preserve">. </w:t>
      </w:r>
      <w:r w:rsidR="00291F91" w:rsidRPr="00310690">
        <w:rPr>
          <w:rFonts w:cs="Arial"/>
        </w:rPr>
        <w:t xml:space="preserve">obuhvaćeno je </w:t>
      </w:r>
      <w:r w:rsidR="00291F91" w:rsidRPr="00310690">
        <w:rPr>
          <w:rFonts w:cs="Arial"/>
          <w:b/>
        </w:rPr>
        <w:t>48</w:t>
      </w:r>
      <w:r w:rsidR="00291F91" w:rsidRPr="00310690">
        <w:rPr>
          <w:rFonts w:cs="Arial"/>
        </w:rPr>
        <w:t xml:space="preserve"> </w:t>
      </w:r>
      <w:r w:rsidR="00291F91" w:rsidRPr="00310690">
        <w:rPr>
          <w:rFonts w:cs="Arial"/>
          <w:b/>
        </w:rPr>
        <w:t>političkih stranaka i pet nezavisnih zastupnika</w:t>
      </w:r>
      <w:r w:rsidR="00291F91" w:rsidRPr="00310690">
        <w:rPr>
          <w:rFonts w:cs="Arial"/>
        </w:rPr>
        <w:t>,</w:t>
      </w:r>
      <w:r w:rsidR="00291F91" w:rsidRPr="00310690">
        <w:rPr>
          <w:rFonts w:cs="Arial"/>
          <w:b/>
        </w:rPr>
        <w:t xml:space="preserve"> </w:t>
      </w:r>
      <w:r w:rsidR="00291F91" w:rsidRPr="00310690">
        <w:rPr>
          <w:rFonts w:cs="Arial"/>
        </w:rPr>
        <w:t>koji su u 2022. ostvarili prihode iznad 100.000,00 kn.</w:t>
      </w:r>
    </w:p>
    <w:p w:rsidR="00291F91" w:rsidRPr="00310690" w:rsidRDefault="00291F91" w:rsidP="00A85B1A">
      <w:pPr>
        <w:tabs>
          <w:tab w:val="left" w:pos="567"/>
        </w:tabs>
        <w:rPr>
          <w:rFonts w:cs="Arial"/>
          <w:b/>
        </w:rPr>
      </w:pPr>
      <w:r w:rsidRPr="00310690">
        <w:rPr>
          <w:rFonts w:cs="Arial"/>
        </w:rPr>
        <w:tab/>
      </w:r>
    </w:p>
    <w:p w:rsidR="00291F91" w:rsidRPr="00310690" w:rsidRDefault="00291F91" w:rsidP="00291F91">
      <w:pPr>
        <w:tabs>
          <w:tab w:val="left" w:pos="567"/>
        </w:tabs>
        <w:rPr>
          <w:rFonts w:cs="Arial"/>
          <w:b/>
        </w:rPr>
      </w:pPr>
      <w:r w:rsidRPr="00310690">
        <w:rPr>
          <w:rFonts w:cs="Arial"/>
        </w:rPr>
        <w:tab/>
      </w:r>
      <w:r w:rsidRPr="00310690">
        <w:rPr>
          <w:rFonts w:cs="Arial"/>
          <w:b/>
        </w:rPr>
        <w:t xml:space="preserve">O financijskim izvještajima </w:t>
      </w:r>
      <w:r w:rsidRPr="00310690">
        <w:rPr>
          <w:rFonts w:cs="Arial"/>
        </w:rPr>
        <w:t>političkih stranaka izraženo je</w:t>
      </w:r>
      <w:r w:rsidRPr="00310690">
        <w:rPr>
          <w:rFonts w:cs="Arial"/>
          <w:b/>
        </w:rPr>
        <w:t xml:space="preserve"> 29 bezuvjetnih i 19 uvjetnih mišljenja, </w:t>
      </w:r>
      <w:r w:rsidRPr="00310690">
        <w:rPr>
          <w:rFonts w:cs="Arial"/>
        </w:rPr>
        <w:t xml:space="preserve">a </w:t>
      </w:r>
      <w:r w:rsidRPr="00310690">
        <w:rPr>
          <w:rFonts w:cs="Arial"/>
          <w:b/>
        </w:rPr>
        <w:t xml:space="preserve">o usklađenosti poslovanja 43 bezuvjetna i pet uvjetnih mišljenja.  </w:t>
      </w:r>
    </w:p>
    <w:p w:rsidR="00291F91" w:rsidRPr="00310690" w:rsidRDefault="00291F91" w:rsidP="00291F91">
      <w:pPr>
        <w:tabs>
          <w:tab w:val="left" w:pos="567"/>
        </w:tabs>
        <w:rPr>
          <w:rFonts w:cs="Arial"/>
          <w:b/>
        </w:rPr>
      </w:pPr>
      <w:r w:rsidRPr="00310690">
        <w:rPr>
          <w:rFonts w:cs="Arial"/>
          <w:b/>
        </w:rPr>
        <w:tab/>
      </w:r>
    </w:p>
    <w:p w:rsidR="00291F91" w:rsidRPr="00310690" w:rsidRDefault="00291F91" w:rsidP="00291F91">
      <w:pPr>
        <w:tabs>
          <w:tab w:val="left" w:pos="567"/>
        </w:tabs>
        <w:rPr>
          <w:rFonts w:cs="Arial"/>
          <w:b/>
        </w:rPr>
      </w:pPr>
      <w:r w:rsidRPr="00310690">
        <w:rPr>
          <w:rFonts w:cs="Arial"/>
          <w:b/>
        </w:rPr>
        <w:tab/>
        <w:t xml:space="preserve">O financijskim izvještajima </w:t>
      </w:r>
      <w:r w:rsidRPr="00310690">
        <w:rPr>
          <w:rFonts w:cs="Arial"/>
        </w:rPr>
        <w:t>nezavisnih zastupnika</w:t>
      </w:r>
      <w:r w:rsidRPr="00310690">
        <w:rPr>
          <w:rFonts w:cs="Arial"/>
          <w:b/>
        </w:rPr>
        <w:t xml:space="preserve"> izražena su četiri bezuvjetna i jedno uvjetno mišljenje, a o usklađenosti poslovanja pet bezuvjetnih mišljenja. </w:t>
      </w:r>
    </w:p>
    <w:p w:rsidR="00291F91" w:rsidRPr="00310690" w:rsidRDefault="00291F91" w:rsidP="00291F91">
      <w:pPr>
        <w:tabs>
          <w:tab w:val="left" w:pos="567"/>
        </w:tabs>
        <w:rPr>
          <w:rFonts w:cs="Arial"/>
        </w:rPr>
      </w:pPr>
    </w:p>
    <w:p w:rsidR="00F06AF1" w:rsidRPr="00310690" w:rsidRDefault="00F06AF1" w:rsidP="00443888">
      <w:pPr>
        <w:tabs>
          <w:tab w:val="left" w:pos="567"/>
          <w:tab w:val="left" w:pos="1134"/>
        </w:tabs>
        <w:ind w:firstLine="567"/>
        <w:rPr>
          <w:rFonts w:cs="Arial"/>
        </w:rPr>
      </w:pPr>
      <w:r w:rsidRPr="00310690">
        <w:rPr>
          <w:rFonts w:cs="Arial"/>
        </w:rPr>
        <w:tab/>
        <w:t>Ciljevi revizije bili su provjeriti:</w:t>
      </w:r>
    </w:p>
    <w:p w:rsidR="00F06AF1" w:rsidRPr="00310690" w:rsidRDefault="00934380" w:rsidP="00443888">
      <w:pPr>
        <w:tabs>
          <w:tab w:val="left" w:pos="567"/>
          <w:tab w:val="left" w:pos="1134"/>
        </w:tabs>
        <w:ind w:firstLine="567"/>
        <w:rPr>
          <w:rFonts w:cs="Arial"/>
        </w:rPr>
      </w:pPr>
      <w:r w:rsidRPr="00310690">
        <w:rPr>
          <w:rFonts w:cs="Arial"/>
        </w:rPr>
        <w:t>–</w:t>
      </w:r>
      <w:r w:rsidRPr="00310690">
        <w:rPr>
          <w:rFonts w:cs="Arial"/>
        </w:rPr>
        <w:tab/>
      </w:r>
      <w:r w:rsidR="00F06AF1" w:rsidRPr="00310690">
        <w:rPr>
          <w:rFonts w:cs="Arial"/>
        </w:rPr>
        <w:t>istinitost i vjerodostojnost financijskih izvještaja</w:t>
      </w:r>
    </w:p>
    <w:p w:rsidR="00F06AF1" w:rsidRPr="00310690" w:rsidRDefault="00F06AF1" w:rsidP="00443888">
      <w:pPr>
        <w:tabs>
          <w:tab w:val="left" w:pos="567"/>
          <w:tab w:val="left" w:pos="1134"/>
        </w:tabs>
        <w:ind w:firstLine="567"/>
        <w:rPr>
          <w:rFonts w:cs="Arial"/>
        </w:rPr>
      </w:pPr>
      <w:r w:rsidRPr="00310690">
        <w:rPr>
          <w:rFonts w:cs="Arial"/>
        </w:rPr>
        <w:t>–</w:t>
      </w:r>
      <w:r w:rsidRPr="00310690">
        <w:rPr>
          <w:rFonts w:cs="Arial"/>
        </w:rPr>
        <w:tab/>
        <w:t xml:space="preserve">primjenu zakona i drugih propisa u vezi s organizacijom i </w:t>
      </w:r>
    </w:p>
    <w:p w:rsidR="00F06AF1" w:rsidRPr="00310690" w:rsidRDefault="00F06AF1" w:rsidP="00443888">
      <w:pPr>
        <w:tabs>
          <w:tab w:val="left" w:pos="567"/>
          <w:tab w:val="left" w:pos="1134"/>
        </w:tabs>
        <w:ind w:firstLine="567"/>
        <w:rPr>
          <w:rFonts w:cs="Arial"/>
        </w:rPr>
      </w:pPr>
      <w:r w:rsidRPr="00310690">
        <w:rPr>
          <w:rFonts w:cs="Arial"/>
        </w:rPr>
        <w:tab/>
        <w:t>financijsko-računovodstvenim poslovanjem</w:t>
      </w:r>
    </w:p>
    <w:p w:rsidR="00F06AF1" w:rsidRPr="00310690" w:rsidRDefault="00F06AF1" w:rsidP="00443888">
      <w:pPr>
        <w:tabs>
          <w:tab w:val="left" w:pos="567"/>
          <w:tab w:val="left" w:pos="1134"/>
        </w:tabs>
        <w:ind w:firstLine="567"/>
        <w:rPr>
          <w:rFonts w:cs="Arial"/>
        </w:rPr>
      </w:pPr>
      <w:r w:rsidRPr="00310690">
        <w:rPr>
          <w:rFonts w:cs="Arial"/>
        </w:rPr>
        <w:t>–</w:t>
      </w:r>
      <w:r w:rsidRPr="00310690">
        <w:rPr>
          <w:rFonts w:cs="Arial"/>
        </w:rPr>
        <w:tab/>
        <w:t>pravilnost stjecanja prihoda</w:t>
      </w:r>
    </w:p>
    <w:p w:rsidR="00F06AF1" w:rsidRPr="00310690" w:rsidRDefault="00F06AF1" w:rsidP="00443888">
      <w:pPr>
        <w:tabs>
          <w:tab w:val="left" w:pos="567"/>
          <w:tab w:val="left" w:pos="1134"/>
        </w:tabs>
        <w:ind w:left="1134" w:hanging="567"/>
        <w:rPr>
          <w:rFonts w:cs="Arial"/>
        </w:rPr>
      </w:pPr>
      <w:r w:rsidRPr="00310690">
        <w:rPr>
          <w:rFonts w:cs="Arial"/>
        </w:rPr>
        <w:t>–</w:t>
      </w:r>
      <w:r w:rsidRPr="00310690">
        <w:rPr>
          <w:rFonts w:cs="Arial"/>
        </w:rPr>
        <w:tab/>
        <w:t>pravilnost ostvarenja rashoda, odnosno provjeriti jesu li financijska sredstva korištena isključivo za ostvarenje ciljeva utvrđenih programom (</w:t>
      </w:r>
      <w:r w:rsidRPr="00310690">
        <w:rPr>
          <w:rFonts w:cs="Arial"/>
          <w:i/>
        </w:rPr>
        <w:t>političke stranke i nezavisnog zastupnika</w:t>
      </w:r>
      <w:r w:rsidRPr="00310690">
        <w:rPr>
          <w:rFonts w:cs="Arial"/>
        </w:rPr>
        <w:t>) i statutom (</w:t>
      </w:r>
      <w:r w:rsidRPr="00310690">
        <w:rPr>
          <w:rFonts w:cs="Arial"/>
          <w:i/>
        </w:rPr>
        <w:t>političke stranke</w:t>
      </w:r>
      <w:r w:rsidRPr="00310690">
        <w:rPr>
          <w:rFonts w:cs="Arial"/>
        </w:rPr>
        <w:t>)</w:t>
      </w:r>
    </w:p>
    <w:p w:rsidR="00F06AF1" w:rsidRPr="00310690" w:rsidRDefault="00F06AF1" w:rsidP="00443888">
      <w:pPr>
        <w:tabs>
          <w:tab w:val="left" w:pos="567"/>
          <w:tab w:val="left" w:pos="1134"/>
        </w:tabs>
        <w:ind w:firstLine="567"/>
        <w:rPr>
          <w:rFonts w:cs="Arial"/>
        </w:rPr>
      </w:pPr>
      <w:r w:rsidRPr="00310690">
        <w:rPr>
          <w:rFonts w:cs="Arial"/>
        </w:rPr>
        <w:t>–</w:t>
      </w:r>
      <w:r w:rsidRPr="00310690">
        <w:rPr>
          <w:rFonts w:cs="Arial"/>
        </w:rPr>
        <w:tab/>
        <w:t xml:space="preserve">provedbu naloga i preporuka iz prošle revizije </w:t>
      </w:r>
    </w:p>
    <w:p w:rsidR="00F06AF1" w:rsidRPr="00310690" w:rsidRDefault="00F06AF1" w:rsidP="00443888">
      <w:pPr>
        <w:tabs>
          <w:tab w:val="left" w:pos="567"/>
          <w:tab w:val="left" w:pos="1134"/>
        </w:tabs>
        <w:ind w:firstLine="567"/>
        <w:rPr>
          <w:rFonts w:cs="Arial"/>
        </w:rPr>
      </w:pPr>
      <w:r w:rsidRPr="00310690">
        <w:rPr>
          <w:rFonts w:cs="Arial"/>
        </w:rPr>
        <w:t>–</w:t>
      </w:r>
      <w:r w:rsidRPr="00310690">
        <w:rPr>
          <w:rFonts w:cs="Arial"/>
        </w:rPr>
        <w:tab/>
        <w:t xml:space="preserve">pravilnost izvršenja drugih transakcija. </w:t>
      </w:r>
    </w:p>
    <w:p w:rsidR="002802FE" w:rsidRPr="00310690" w:rsidRDefault="002802FE" w:rsidP="00934380">
      <w:pPr>
        <w:tabs>
          <w:tab w:val="left" w:pos="0"/>
          <w:tab w:val="left" w:pos="567"/>
        </w:tabs>
        <w:rPr>
          <w:rFonts w:cs="Arial"/>
        </w:rPr>
      </w:pPr>
    </w:p>
    <w:p w:rsidR="00A85B1A" w:rsidRPr="00310690" w:rsidRDefault="00437448" w:rsidP="000123EB">
      <w:pPr>
        <w:tabs>
          <w:tab w:val="left" w:pos="567"/>
        </w:tabs>
        <w:rPr>
          <w:rFonts w:cs="Arial"/>
          <w:color w:val="365F91" w:themeColor="accent1" w:themeShade="BF"/>
        </w:rPr>
      </w:pPr>
      <w:r w:rsidRPr="00310690">
        <w:rPr>
          <w:rFonts w:cs="Arial"/>
        </w:rPr>
        <w:tab/>
      </w:r>
      <w:r w:rsidR="000922E3" w:rsidRPr="00310690">
        <w:rPr>
          <w:rFonts w:cs="Arial"/>
        </w:rPr>
        <w:t xml:space="preserve">Kao i prošlih godina, </w:t>
      </w:r>
      <w:r w:rsidR="000123EB" w:rsidRPr="00310690">
        <w:rPr>
          <w:rFonts w:cs="Arial"/>
        </w:rPr>
        <w:t xml:space="preserve">nepravilnosti i propusti </w:t>
      </w:r>
      <w:r w:rsidR="00C42134" w:rsidRPr="00310690">
        <w:rPr>
          <w:rFonts w:cs="Arial"/>
        </w:rPr>
        <w:t xml:space="preserve">najčešće </w:t>
      </w:r>
      <w:r w:rsidR="0097224F" w:rsidRPr="00310690">
        <w:rPr>
          <w:rFonts w:cs="Arial"/>
        </w:rPr>
        <w:t>se pojavljuju</w:t>
      </w:r>
      <w:r w:rsidR="00C42134" w:rsidRPr="00310690">
        <w:rPr>
          <w:rFonts w:cs="Arial"/>
        </w:rPr>
        <w:t xml:space="preserve"> u područjima</w:t>
      </w:r>
      <w:r w:rsidR="00A85B1A" w:rsidRPr="00310690">
        <w:rPr>
          <w:rFonts w:cs="Arial"/>
        </w:rPr>
        <w:t xml:space="preserve"> </w:t>
      </w:r>
      <w:r w:rsidR="00A85B1A" w:rsidRPr="00310690">
        <w:rPr>
          <w:rFonts w:cs="Arial"/>
          <w:b/>
        </w:rPr>
        <w:t>računovodstveno</w:t>
      </w:r>
      <w:r w:rsidR="00C42134" w:rsidRPr="00310690">
        <w:rPr>
          <w:rFonts w:cs="Arial"/>
          <w:b/>
        </w:rPr>
        <w:t>g poslovanja</w:t>
      </w:r>
      <w:r w:rsidR="00A85B1A" w:rsidRPr="00310690">
        <w:rPr>
          <w:rFonts w:cs="Arial"/>
          <w:b/>
        </w:rPr>
        <w:t xml:space="preserve"> i financijski</w:t>
      </w:r>
      <w:r w:rsidR="00C42134" w:rsidRPr="00310690">
        <w:rPr>
          <w:rFonts w:cs="Arial"/>
          <w:b/>
        </w:rPr>
        <w:t>h</w:t>
      </w:r>
      <w:r w:rsidR="00A85B1A" w:rsidRPr="00310690">
        <w:rPr>
          <w:rFonts w:cs="Arial"/>
          <w:b/>
        </w:rPr>
        <w:t xml:space="preserve"> izvještaj</w:t>
      </w:r>
      <w:r w:rsidR="00C42134" w:rsidRPr="00310690">
        <w:rPr>
          <w:rFonts w:cs="Arial"/>
          <w:b/>
        </w:rPr>
        <w:t>a</w:t>
      </w:r>
      <w:r w:rsidR="00A85B1A" w:rsidRPr="00310690">
        <w:rPr>
          <w:rFonts w:cs="Arial"/>
          <w:color w:val="365F91" w:themeColor="accent1" w:themeShade="BF"/>
        </w:rPr>
        <w:t>.</w:t>
      </w:r>
    </w:p>
    <w:p w:rsidR="00A85B1A" w:rsidRPr="00310690" w:rsidRDefault="00A85B1A" w:rsidP="000123EB">
      <w:pPr>
        <w:tabs>
          <w:tab w:val="left" w:pos="567"/>
        </w:tabs>
        <w:rPr>
          <w:rFonts w:cs="Arial"/>
          <w:color w:val="365F91" w:themeColor="accent1" w:themeShade="BF"/>
        </w:rPr>
      </w:pPr>
    </w:p>
    <w:p w:rsidR="00A85B1A" w:rsidRPr="00310690" w:rsidRDefault="00A85B1A" w:rsidP="00A85B1A">
      <w:pPr>
        <w:tabs>
          <w:tab w:val="left" w:pos="567"/>
        </w:tabs>
        <w:rPr>
          <w:rFonts w:cs="Arial"/>
        </w:rPr>
      </w:pPr>
      <w:r w:rsidRPr="00310690">
        <w:rPr>
          <w:rFonts w:cs="Arial"/>
          <w:color w:val="365F91" w:themeColor="accent1" w:themeShade="BF"/>
        </w:rPr>
        <w:tab/>
      </w:r>
      <w:r w:rsidRPr="00310690">
        <w:rPr>
          <w:rFonts w:cs="Arial"/>
        </w:rPr>
        <w:t xml:space="preserve">Kod </w:t>
      </w:r>
      <w:r w:rsidRPr="00310690">
        <w:rPr>
          <w:rFonts w:cs="Arial"/>
          <w:b/>
        </w:rPr>
        <w:t>najvećeg broja političkih stranaka</w:t>
      </w:r>
      <w:r w:rsidRPr="00310690">
        <w:rPr>
          <w:rFonts w:cs="Arial"/>
        </w:rPr>
        <w:t xml:space="preserve">, između ostalog, utvrđene su sljedeće nepravilnosti: </w:t>
      </w:r>
    </w:p>
    <w:p w:rsidR="00CD3834" w:rsidRPr="00310690" w:rsidRDefault="00CD3834" w:rsidP="00CD3834">
      <w:pPr>
        <w:tabs>
          <w:tab w:val="left" w:pos="567"/>
        </w:tabs>
        <w:rPr>
          <w:rFonts w:cs="Arial"/>
          <w:color w:val="943634" w:themeColor="accent2" w:themeShade="BF"/>
        </w:rPr>
      </w:pPr>
      <w:r w:rsidRPr="00310690">
        <w:rPr>
          <w:rFonts w:cs="Arial"/>
          <w:color w:val="943634" w:themeColor="accent2" w:themeShade="BF"/>
        </w:rPr>
        <w:t xml:space="preserve"> </w:t>
      </w:r>
    </w:p>
    <w:p w:rsidR="00C81F8D" w:rsidRPr="00310690" w:rsidRDefault="00CD3834" w:rsidP="00C81F8D">
      <w:pPr>
        <w:pStyle w:val="Odlomakpopisa"/>
        <w:numPr>
          <w:ilvl w:val="0"/>
          <w:numId w:val="18"/>
        </w:numPr>
        <w:tabs>
          <w:tab w:val="left" w:pos="1080"/>
          <w:tab w:val="left" w:pos="1134"/>
        </w:tabs>
        <w:spacing w:after="0" w:line="240" w:lineRule="auto"/>
        <w:ind w:left="567" w:firstLine="0"/>
        <w:jc w:val="both"/>
        <w:rPr>
          <w:rFonts w:ascii="Arial" w:eastAsia="Times New Roman" w:hAnsi="Arial" w:cs="Arial"/>
          <w:sz w:val="24"/>
          <w:szCs w:val="24"/>
          <w:lang w:eastAsia="hr-HR"/>
        </w:rPr>
      </w:pPr>
      <w:r w:rsidRPr="00310690">
        <w:rPr>
          <w:rFonts w:ascii="Arial" w:eastAsia="Times New Roman" w:hAnsi="Arial" w:cs="Arial"/>
          <w:sz w:val="24"/>
          <w:szCs w:val="24"/>
          <w:lang w:eastAsia="hr-HR"/>
        </w:rPr>
        <w:t>temeljni financijski izvještaji nisu sastavljeni na propisani način odnosno podaci</w:t>
      </w:r>
    </w:p>
    <w:p w:rsidR="00C81F8D" w:rsidRPr="00310690" w:rsidRDefault="00C81F8D" w:rsidP="00C81F8D">
      <w:pPr>
        <w:pStyle w:val="Odlomakpopisa"/>
        <w:tabs>
          <w:tab w:val="left" w:pos="1080"/>
          <w:tab w:val="left" w:pos="1134"/>
        </w:tabs>
        <w:spacing w:after="0" w:line="240" w:lineRule="auto"/>
        <w:ind w:left="567"/>
        <w:jc w:val="both"/>
        <w:rPr>
          <w:rFonts w:ascii="Arial" w:eastAsia="Times New Roman" w:hAnsi="Arial" w:cs="Arial"/>
          <w:sz w:val="24"/>
          <w:szCs w:val="24"/>
          <w:lang w:eastAsia="hr-HR"/>
        </w:rPr>
      </w:pPr>
      <w:r w:rsidRPr="00310690">
        <w:rPr>
          <w:rFonts w:ascii="Arial" w:eastAsia="Times New Roman" w:hAnsi="Arial" w:cs="Arial"/>
          <w:sz w:val="24"/>
          <w:szCs w:val="24"/>
          <w:lang w:eastAsia="hr-HR"/>
        </w:rPr>
        <w:tab/>
      </w:r>
      <w:r w:rsidR="00CD3834" w:rsidRPr="00310690">
        <w:rPr>
          <w:rFonts w:ascii="Arial" w:eastAsia="Times New Roman" w:hAnsi="Arial" w:cs="Arial"/>
          <w:sz w:val="24"/>
          <w:szCs w:val="24"/>
          <w:lang w:eastAsia="hr-HR"/>
        </w:rPr>
        <w:t>iskazani u financijskim izvještajima nisu točni i istiniti, kao ni istovjetni podacima</w:t>
      </w:r>
    </w:p>
    <w:p w:rsidR="00CD3834" w:rsidRPr="00310690" w:rsidRDefault="00C81F8D" w:rsidP="00C81F8D">
      <w:pPr>
        <w:pStyle w:val="Odlomakpopisa"/>
        <w:tabs>
          <w:tab w:val="left" w:pos="1080"/>
          <w:tab w:val="left" w:pos="1134"/>
        </w:tabs>
        <w:spacing w:after="0" w:line="240" w:lineRule="auto"/>
        <w:ind w:left="567"/>
        <w:jc w:val="both"/>
        <w:rPr>
          <w:rFonts w:ascii="Arial" w:eastAsia="Times New Roman" w:hAnsi="Arial" w:cs="Arial"/>
          <w:sz w:val="24"/>
          <w:szCs w:val="24"/>
          <w:lang w:eastAsia="hr-HR"/>
        </w:rPr>
      </w:pPr>
      <w:r w:rsidRPr="00310690">
        <w:rPr>
          <w:rFonts w:ascii="Arial" w:eastAsia="Times New Roman" w:hAnsi="Arial" w:cs="Arial"/>
          <w:sz w:val="24"/>
          <w:szCs w:val="24"/>
          <w:lang w:eastAsia="hr-HR"/>
        </w:rPr>
        <w:tab/>
      </w:r>
      <w:r w:rsidR="00CD3834" w:rsidRPr="00310690">
        <w:rPr>
          <w:rFonts w:ascii="Arial" w:eastAsia="Times New Roman" w:hAnsi="Arial" w:cs="Arial"/>
          <w:sz w:val="24"/>
          <w:szCs w:val="24"/>
          <w:lang w:eastAsia="hr-HR"/>
        </w:rPr>
        <w:t>evidentiranima u poslovnim knjigama</w:t>
      </w:r>
    </w:p>
    <w:p w:rsidR="00CD3834" w:rsidRPr="00310690" w:rsidRDefault="00CD3834" w:rsidP="00C81F8D">
      <w:pPr>
        <w:pStyle w:val="Odlomakpopisa"/>
        <w:numPr>
          <w:ilvl w:val="0"/>
          <w:numId w:val="18"/>
        </w:numPr>
        <w:tabs>
          <w:tab w:val="left" w:pos="1080"/>
          <w:tab w:val="left" w:pos="1134"/>
        </w:tabs>
        <w:spacing w:after="0" w:line="240" w:lineRule="auto"/>
        <w:ind w:left="567" w:firstLine="0"/>
        <w:jc w:val="both"/>
        <w:rPr>
          <w:rFonts w:ascii="Arial" w:eastAsia="Times New Roman" w:hAnsi="Arial" w:cs="Arial"/>
          <w:sz w:val="24"/>
          <w:szCs w:val="24"/>
          <w:lang w:eastAsia="hr-HR"/>
        </w:rPr>
      </w:pPr>
      <w:r w:rsidRPr="00310690">
        <w:rPr>
          <w:rFonts w:ascii="Arial" w:eastAsia="Times New Roman" w:hAnsi="Arial" w:cs="Arial"/>
          <w:sz w:val="24"/>
          <w:szCs w:val="24"/>
          <w:lang w:eastAsia="hr-HR"/>
        </w:rPr>
        <w:t>bilješke uz financijske izvještaje nisu potpune</w:t>
      </w:r>
    </w:p>
    <w:p w:rsidR="00210403" w:rsidRPr="00310690" w:rsidRDefault="00CD3834" w:rsidP="00C81F8D">
      <w:pPr>
        <w:pStyle w:val="Odlomakpopisa"/>
        <w:numPr>
          <w:ilvl w:val="0"/>
          <w:numId w:val="18"/>
        </w:numPr>
        <w:tabs>
          <w:tab w:val="left" w:pos="1080"/>
          <w:tab w:val="left" w:pos="1134"/>
        </w:tabs>
        <w:spacing w:after="0" w:line="240" w:lineRule="auto"/>
        <w:ind w:left="567" w:firstLine="0"/>
        <w:jc w:val="both"/>
        <w:rPr>
          <w:rFonts w:ascii="Arial" w:eastAsia="Times New Roman" w:hAnsi="Arial" w:cs="Arial"/>
          <w:sz w:val="24"/>
          <w:szCs w:val="24"/>
          <w:lang w:eastAsia="hr-HR"/>
        </w:rPr>
      </w:pPr>
      <w:r w:rsidRPr="00310690">
        <w:rPr>
          <w:rFonts w:ascii="Arial" w:eastAsia="Times New Roman" w:hAnsi="Arial" w:cs="Arial"/>
          <w:sz w:val="24"/>
          <w:szCs w:val="24"/>
          <w:lang w:eastAsia="hr-HR"/>
        </w:rPr>
        <w:t>nisu ustrojene sve propisane poslovne knjige, a izravnim raščlanjivanjem stavki</w:t>
      </w:r>
    </w:p>
    <w:p w:rsidR="00CD3834" w:rsidRPr="00310690" w:rsidRDefault="00210403" w:rsidP="00210403">
      <w:pPr>
        <w:pStyle w:val="Odlomakpopisa"/>
        <w:tabs>
          <w:tab w:val="left" w:pos="1080"/>
          <w:tab w:val="left" w:pos="1134"/>
        </w:tabs>
        <w:spacing w:after="0" w:line="240" w:lineRule="auto"/>
        <w:ind w:left="567"/>
        <w:jc w:val="both"/>
        <w:rPr>
          <w:rFonts w:ascii="Arial" w:eastAsia="Times New Roman" w:hAnsi="Arial" w:cs="Arial"/>
          <w:sz w:val="24"/>
          <w:szCs w:val="24"/>
          <w:lang w:eastAsia="hr-HR"/>
        </w:rPr>
      </w:pPr>
      <w:r w:rsidRPr="00310690">
        <w:rPr>
          <w:rFonts w:ascii="Arial" w:eastAsia="Times New Roman" w:hAnsi="Arial" w:cs="Arial"/>
          <w:sz w:val="24"/>
          <w:szCs w:val="24"/>
          <w:lang w:eastAsia="hr-HR"/>
        </w:rPr>
        <w:tab/>
      </w:r>
      <w:r w:rsidR="00CD3834" w:rsidRPr="00310690">
        <w:rPr>
          <w:rFonts w:ascii="Arial" w:eastAsia="Times New Roman" w:hAnsi="Arial" w:cs="Arial"/>
          <w:sz w:val="24"/>
          <w:szCs w:val="24"/>
          <w:lang w:eastAsia="hr-HR"/>
        </w:rPr>
        <w:t xml:space="preserve">glavne knjige nisu osigurani potrebni podaci </w:t>
      </w:r>
    </w:p>
    <w:p w:rsidR="00210403" w:rsidRPr="00310690" w:rsidRDefault="00CD3834" w:rsidP="00C81F8D">
      <w:pPr>
        <w:pStyle w:val="Odlomakpopisa"/>
        <w:numPr>
          <w:ilvl w:val="0"/>
          <w:numId w:val="18"/>
        </w:numPr>
        <w:tabs>
          <w:tab w:val="left" w:pos="1080"/>
          <w:tab w:val="left" w:pos="1134"/>
        </w:tabs>
        <w:spacing w:after="0" w:line="240" w:lineRule="auto"/>
        <w:ind w:left="567" w:firstLine="0"/>
        <w:jc w:val="both"/>
        <w:rPr>
          <w:rFonts w:ascii="Arial" w:hAnsi="Arial" w:cs="Arial"/>
          <w:sz w:val="24"/>
          <w:szCs w:val="24"/>
        </w:rPr>
      </w:pPr>
      <w:r w:rsidRPr="00310690">
        <w:rPr>
          <w:rFonts w:ascii="Arial" w:hAnsi="Arial" w:cs="Arial"/>
          <w:sz w:val="24"/>
          <w:szCs w:val="24"/>
        </w:rPr>
        <w:t xml:space="preserve">prihodi i rashodi nisu evidentirani u poslovnim knjigama ni </w:t>
      </w:r>
      <w:r w:rsidR="00210403" w:rsidRPr="00310690">
        <w:rPr>
          <w:rFonts w:ascii="Arial" w:hAnsi="Arial" w:cs="Arial"/>
          <w:sz w:val="24"/>
          <w:szCs w:val="24"/>
        </w:rPr>
        <w:t>iskazani u financijskim</w:t>
      </w:r>
    </w:p>
    <w:p w:rsidR="00CD3834" w:rsidRPr="00310690" w:rsidRDefault="00210403" w:rsidP="00210403">
      <w:pPr>
        <w:pStyle w:val="Odlomakpopisa"/>
        <w:tabs>
          <w:tab w:val="left" w:pos="1080"/>
          <w:tab w:val="left" w:pos="1134"/>
        </w:tabs>
        <w:spacing w:after="0" w:line="240" w:lineRule="auto"/>
        <w:ind w:left="567"/>
        <w:jc w:val="both"/>
        <w:rPr>
          <w:rFonts w:ascii="Arial" w:hAnsi="Arial" w:cs="Arial"/>
          <w:sz w:val="24"/>
          <w:szCs w:val="24"/>
        </w:rPr>
      </w:pPr>
      <w:r w:rsidRPr="00310690">
        <w:rPr>
          <w:rFonts w:ascii="Arial" w:hAnsi="Arial" w:cs="Arial"/>
          <w:sz w:val="24"/>
          <w:szCs w:val="24"/>
        </w:rPr>
        <w:tab/>
      </w:r>
      <w:r w:rsidR="00CD3834" w:rsidRPr="00310690">
        <w:rPr>
          <w:rFonts w:ascii="Arial" w:hAnsi="Arial" w:cs="Arial"/>
          <w:sz w:val="24"/>
          <w:szCs w:val="24"/>
        </w:rPr>
        <w:t xml:space="preserve">izvještajima na računima propisanim računskim planom za neprofitne organizacije </w:t>
      </w:r>
    </w:p>
    <w:p w:rsidR="00210403" w:rsidRPr="00310690" w:rsidRDefault="00CD3834" w:rsidP="00C81F8D">
      <w:pPr>
        <w:pStyle w:val="Odlomakpopisa"/>
        <w:numPr>
          <w:ilvl w:val="0"/>
          <w:numId w:val="18"/>
        </w:numPr>
        <w:tabs>
          <w:tab w:val="left" w:pos="1080"/>
          <w:tab w:val="left" w:pos="1134"/>
        </w:tabs>
        <w:spacing w:after="0" w:line="240" w:lineRule="auto"/>
        <w:ind w:left="567" w:firstLine="0"/>
        <w:jc w:val="both"/>
        <w:rPr>
          <w:rFonts w:ascii="Arial" w:hAnsi="Arial" w:cs="Arial"/>
          <w:sz w:val="24"/>
          <w:szCs w:val="24"/>
        </w:rPr>
      </w:pPr>
      <w:r w:rsidRPr="00310690">
        <w:rPr>
          <w:rFonts w:ascii="Arial" w:hAnsi="Arial" w:cs="Arial"/>
          <w:sz w:val="24"/>
          <w:szCs w:val="24"/>
        </w:rPr>
        <w:t>pojedini računi (knjigovodstvene isprave) na temelju kojih je obavljeno</w:t>
      </w:r>
    </w:p>
    <w:p w:rsidR="00210403" w:rsidRPr="00310690" w:rsidRDefault="00210403" w:rsidP="00210403">
      <w:pPr>
        <w:pStyle w:val="Odlomakpopisa"/>
        <w:tabs>
          <w:tab w:val="left" w:pos="1080"/>
          <w:tab w:val="left" w:pos="1134"/>
        </w:tabs>
        <w:spacing w:after="0" w:line="240" w:lineRule="auto"/>
        <w:ind w:left="567"/>
        <w:jc w:val="both"/>
        <w:rPr>
          <w:rFonts w:ascii="Arial" w:hAnsi="Arial" w:cs="Arial"/>
          <w:sz w:val="24"/>
          <w:szCs w:val="24"/>
        </w:rPr>
      </w:pPr>
      <w:r w:rsidRPr="00310690">
        <w:rPr>
          <w:rFonts w:ascii="Arial" w:hAnsi="Arial" w:cs="Arial"/>
          <w:sz w:val="24"/>
          <w:szCs w:val="24"/>
        </w:rPr>
        <w:tab/>
      </w:r>
      <w:r w:rsidR="00CD3834" w:rsidRPr="00310690">
        <w:rPr>
          <w:rFonts w:ascii="Arial" w:hAnsi="Arial" w:cs="Arial"/>
          <w:sz w:val="24"/>
          <w:szCs w:val="24"/>
        </w:rPr>
        <w:t>evidentiranje poslovnih događaja nisu prethodno ovjereni ni kontrolirani ili na</w:t>
      </w:r>
    </w:p>
    <w:p w:rsidR="00CD3834" w:rsidRPr="00310690" w:rsidRDefault="00CD3834" w:rsidP="00210403">
      <w:pPr>
        <w:pStyle w:val="Odlomakpopisa"/>
        <w:tabs>
          <w:tab w:val="left" w:pos="1080"/>
          <w:tab w:val="left" w:pos="1134"/>
        </w:tabs>
        <w:spacing w:after="0" w:line="240" w:lineRule="auto"/>
        <w:ind w:left="1080"/>
        <w:jc w:val="both"/>
        <w:rPr>
          <w:rFonts w:ascii="Arial" w:hAnsi="Arial" w:cs="Arial"/>
          <w:sz w:val="24"/>
          <w:szCs w:val="24"/>
        </w:rPr>
      </w:pPr>
      <w:r w:rsidRPr="00310690">
        <w:rPr>
          <w:rFonts w:ascii="Arial" w:hAnsi="Arial" w:cs="Arial"/>
          <w:sz w:val="24"/>
          <w:szCs w:val="24"/>
        </w:rPr>
        <w:t>računima nisu navedene aktivnosti na koje se poslovni događaj odnosi te se ne može potvrditi jesu li sredstva korištena za ostvarivanje ciljeva utvrđenih godišnjim programom rada i financijskim planom u skladu s odredbama Zakona o financiranju političkih aktivnosti, izborne promidžbe i referenduma</w:t>
      </w:r>
    </w:p>
    <w:p w:rsidR="00CD3834" w:rsidRPr="00310690" w:rsidRDefault="00CD3834" w:rsidP="00C81F8D">
      <w:pPr>
        <w:pStyle w:val="Odlomakpopisa"/>
        <w:numPr>
          <w:ilvl w:val="0"/>
          <w:numId w:val="18"/>
        </w:numPr>
        <w:tabs>
          <w:tab w:val="left" w:pos="1080"/>
          <w:tab w:val="left" w:pos="1134"/>
        </w:tabs>
        <w:spacing w:after="0" w:line="240" w:lineRule="auto"/>
        <w:ind w:left="567" w:firstLine="0"/>
        <w:jc w:val="both"/>
        <w:rPr>
          <w:rFonts w:ascii="Arial" w:hAnsi="Arial" w:cs="Arial"/>
          <w:sz w:val="24"/>
          <w:szCs w:val="24"/>
        </w:rPr>
      </w:pPr>
      <w:r w:rsidRPr="00310690">
        <w:rPr>
          <w:rFonts w:ascii="Arial" w:hAnsi="Arial" w:cs="Arial"/>
          <w:sz w:val="24"/>
          <w:szCs w:val="24"/>
        </w:rPr>
        <w:t>blagajničko poslovanje nije vođeno uredno</w:t>
      </w:r>
    </w:p>
    <w:p w:rsidR="00CD3834" w:rsidRPr="00310690" w:rsidRDefault="00CD3834" w:rsidP="00C81F8D">
      <w:pPr>
        <w:pStyle w:val="Odlomakpopisa"/>
        <w:numPr>
          <w:ilvl w:val="0"/>
          <w:numId w:val="18"/>
        </w:numPr>
        <w:tabs>
          <w:tab w:val="left" w:pos="1080"/>
          <w:tab w:val="left" w:pos="1134"/>
        </w:tabs>
        <w:spacing w:after="0" w:line="240" w:lineRule="auto"/>
        <w:ind w:left="567" w:firstLine="0"/>
        <w:jc w:val="both"/>
        <w:rPr>
          <w:rFonts w:ascii="Arial" w:hAnsi="Arial" w:cs="Arial"/>
          <w:sz w:val="24"/>
          <w:szCs w:val="24"/>
        </w:rPr>
      </w:pPr>
      <w:r w:rsidRPr="00310690">
        <w:rPr>
          <w:rFonts w:ascii="Arial" w:hAnsi="Arial" w:cs="Arial"/>
          <w:sz w:val="24"/>
          <w:szCs w:val="24"/>
        </w:rPr>
        <w:t>popis imovine i obveza nije u cijelosti obavljen u skladu s propisima.</w:t>
      </w:r>
    </w:p>
    <w:p w:rsidR="00CD3834" w:rsidRPr="00310690" w:rsidRDefault="00CD3834" w:rsidP="00CD3834">
      <w:pPr>
        <w:widowControl/>
        <w:autoSpaceDE/>
        <w:autoSpaceDN/>
        <w:adjustRightInd/>
        <w:jc w:val="left"/>
        <w:rPr>
          <w:rFonts w:cs="Arial"/>
          <w:highlight w:val="yellow"/>
        </w:rPr>
      </w:pPr>
    </w:p>
    <w:p w:rsidR="00CD3834" w:rsidRPr="00310690" w:rsidRDefault="00CD3834" w:rsidP="00CD3834">
      <w:pPr>
        <w:ind w:firstLine="567"/>
        <w:rPr>
          <w:rFonts w:cs="Arial"/>
        </w:rPr>
      </w:pPr>
      <w:r w:rsidRPr="00310690">
        <w:rPr>
          <w:rFonts w:cs="Arial"/>
        </w:rPr>
        <w:t>Tijekom revizije provjeravaju se, između ostalog, i dobrovoljni prilozi (donacije) kao područje visokog rizika, s obzirom na to da mogu biti povezani s neetičnim postupanjem donatora. Ured provjerava jesu li donatori političkih stranaka ujedno bili i dobavljači drugih subjekata za koje je Ured obavio reviziju (</w:t>
      </w:r>
      <w:r w:rsidRPr="00310690">
        <w:rPr>
          <w:rFonts w:cs="Arial"/>
          <w:i/>
        </w:rPr>
        <w:t>ministarstvima, trgovačkim društvima, lokalnim jedinicama</w:t>
      </w:r>
      <w:r w:rsidRPr="00310690">
        <w:rPr>
          <w:rFonts w:cs="Arial"/>
        </w:rPr>
        <w:t>) te jesu li utvrđene nepravilnosti u vezi s provođenjem postupaka javne nabave (koje je također područje visokog rizika). Analizom podataka prikupljenih tijekom obavljanja revizije utvrđeno je da nije bilo nepravilnosti koje bi ukazivale na neetično ponašanje pri odabiru dobavljača – donatora političkih stranaka.</w:t>
      </w:r>
    </w:p>
    <w:p w:rsidR="00CD3834" w:rsidRPr="00310690" w:rsidRDefault="00CD3834" w:rsidP="00CD3834">
      <w:pPr>
        <w:tabs>
          <w:tab w:val="left" w:pos="567"/>
        </w:tabs>
        <w:rPr>
          <w:rFonts w:cs="Arial"/>
          <w:color w:val="FF0000"/>
        </w:rPr>
      </w:pPr>
    </w:p>
    <w:p w:rsidR="00CD3834" w:rsidRPr="00310690" w:rsidRDefault="00CD3834" w:rsidP="00CD3834">
      <w:pPr>
        <w:tabs>
          <w:tab w:val="left" w:pos="567"/>
        </w:tabs>
        <w:rPr>
          <w:rFonts w:cs="Arial"/>
        </w:rPr>
      </w:pPr>
      <w:r w:rsidRPr="00310690">
        <w:rPr>
          <w:rFonts w:cs="Arial"/>
          <w:color w:val="FF0000"/>
        </w:rPr>
        <w:tab/>
      </w:r>
      <w:r w:rsidRPr="00310690">
        <w:rPr>
          <w:rFonts w:cs="Arial"/>
        </w:rPr>
        <w:t>Revizijom</w:t>
      </w:r>
      <w:r w:rsidRPr="00310690">
        <w:rPr>
          <w:rFonts w:cs="Arial"/>
          <w:b/>
        </w:rPr>
        <w:t xml:space="preserve"> nezavisnih zastupnika </w:t>
      </w:r>
      <w:r w:rsidRPr="00310690">
        <w:rPr>
          <w:rFonts w:cs="Arial"/>
        </w:rPr>
        <w:t xml:space="preserve">nisu utvrđene nepravilnosti i propusti koje bi utjecale na istinitost i realnost financijskih izvještaja te usklađenost poslovanja, osim u dijelu koji se odnosi na računovodstveno poslovanje i financijske izvještaje nezavisne zastupnice.  </w:t>
      </w:r>
    </w:p>
    <w:p w:rsidR="00CD3834" w:rsidRPr="00310690" w:rsidRDefault="00CD3834" w:rsidP="00CD3834">
      <w:pPr>
        <w:tabs>
          <w:tab w:val="left" w:pos="567"/>
        </w:tabs>
        <w:rPr>
          <w:rFonts w:cs="Arial"/>
        </w:rPr>
      </w:pPr>
    </w:p>
    <w:p w:rsidR="00CD3834" w:rsidRPr="00310690" w:rsidRDefault="00CD3834" w:rsidP="00CD3834">
      <w:pPr>
        <w:tabs>
          <w:tab w:val="left" w:pos="567"/>
        </w:tabs>
        <w:rPr>
          <w:rFonts w:cs="Arial"/>
        </w:rPr>
      </w:pPr>
      <w:r w:rsidRPr="00310690">
        <w:rPr>
          <w:rFonts w:cs="Arial"/>
        </w:rPr>
        <w:tab/>
        <w:t>Za sve ut</w:t>
      </w:r>
      <w:r w:rsidR="00765AEA">
        <w:rPr>
          <w:rFonts w:cs="Arial"/>
        </w:rPr>
        <w:t>vrđene nepravilnosti i propuste</w:t>
      </w:r>
      <w:r w:rsidRPr="00310690">
        <w:rPr>
          <w:rFonts w:cs="Arial"/>
        </w:rPr>
        <w:t xml:space="preserve"> </w:t>
      </w:r>
      <w:r w:rsidRPr="00AB13E8">
        <w:rPr>
          <w:rFonts w:cs="Arial"/>
          <w:b/>
        </w:rPr>
        <w:t>dano je 266 naloga i preporuka</w:t>
      </w:r>
      <w:r w:rsidRPr="00310690">
        <w:rPr>
          <w:rFonts w:cs="Arial"/>
        </w:rPr>
        <w:t xml:space="preserve"> (političkim strankama 256, a nezavisnim zastupnicima deset), čija bi provedba pridonijela istinitom, pouzdanom i točnom iskazivanju prihoda, rashoda, imovine, obveza i vlastitih izvora te povećanju usklađenosti poslovanja s propisima i unutarnjim aktima, kao i učinkovitijem korištenju sredstava.</w:t>
      </w:r>
    </w:p>
    <w:p w:rsidR="00CD3834" w:rsidRPr="00310690" w:rsidRDefault="00CD3834" w:rsidP="00CD3834">
      <w:pPr>
        <w:tabs>
          <w:tab w:val="left" w:pos="567"/>
        </w:tabs>
        <w:rPr>
          <w:rFonts w:cs="Arial"/>
        </w:rPr>
      </w:pPr>
    </w:p>
    <w:p w:rsidR="00CD3834" w:rsidRPr="00310690" w:rsidRDefault="00CD3834" w:rsidP="00CD3834">
      <w:pPr>
        <w:ind w:firstLine="567"/>
        <w:rPr>
          <w:rFonts w:cs="Arial"/>
          <w:szCs w:val="22"/>
        </w:rPr>
      </w:pPr>
      <w:r w:rsidRPr="00310690">
        <w:rPr>
          <w:rFonts w:cs="Arial"/>
        </w:rPr>
        <w:tab/>
        <w:t>Osim toga, utvrđeno je</w:t>
      </w:r>
      <w:r w:rsidR="00693E08">
        <w:rPr>
          <w:rFonts w:cs="Arial"/>
        </w:rPr>
        <w:t xml:space="preserve"> da je</w:t>
      </w:r>
      <w:r w:rsidR="00765AEA">
        <w:rPr>
          <w:rFonts w:cs="Arial"/>
        </w:rPr>
        <w:t>,</w:t>
      </w:r>
      <w:r w:rsidR="00693E08">
        <w:rPr>
          <w:rFonts w:cs="Arial"/>
        </w:rPr>
        <w:t xml:space="preserve"> od 334 naloga i preporuke</w:t>
      </w:r>
      <w:r w:rsidRPr="00310690">
        <w:rPr>
          <w:rFonts w:cs="Arial"/>
        </w:rPr>
        <w:t xml:space="preserve"> danih u prošlim revizijama (odnose se na svih 48 političkih stranaka), </w:t>
      </w:r>
      <w:r w:rsidR="00765AEA">
        <w:rPr>
          <w:rFonts w:cs="Arial"/>
          <w:b/>
        </w:rPr>
        <w:t>148</w:t>
      </w:r>
      <w:r w:rsidRPr="00310690">
        <w:rPr>
          <w:rFonts w:cs="Arial"/>
          <w:b/>
        </w:rPr>
        <w:t xml:space="preserve"> provedeno</w:t>
      </w:r>
      <w:r w:rsidRPr="00310690">
        <w:rPr>
          <w:rFonts w:cs="Arial"/>
        </w:rPr>
        <w:t xml:space="preserve">, </w:t>
      </w:r>
      <w:r w:rsidRPr="00310690">
        <w:rPr>
          <w:rFonts w:cs="Arial"/>
          <w:b/>
        </w:rPr>
        <w:t>89 nije provedeno</w:t>
      </w:r>
      <w:r w:rsidRPr="00310690">
        <w:rPr>
          <w:rFonts w:cs="Arial"/>
        </w:rPr>
        <w:t xml:space="preserve">, </w:t>
      </w:r>
      <w:r w:rsidRPr="00310690">
        <w:rPr>
          <w:rFonts w:cs="Arial"/>
          <w:b/>
        </w:rPr>
        <w:t>87 je djelomično provedeno ili u postupku provedbe</w:t>
      </w:r>
      <w:r w:rsidRPr="00310690">
        <w:rPr>
          <w:rFonts w:cs="Arial"/>
        </w:rPr>
        <w:t xml:space="preserve">, dok zbog promijenjenih okolnosti odnosno neprovođenja aktivnosti </w:t>
      </w:r>
      <w:r w:rsidRPr="00310690">
        <w:rPr>
          <w:rFonts w:cs="Arial"/>
          <w:b/>
        </w:rPr>
        <w:t>nije primjenjivo deset naloga i preporuka</w:t>
      </w:r>
      <w:r w:rsidRPr="00310690">
        <w:rPr>
          <w:rFonts w:cs="Arial"/>
        </w:rPr>
        <w:t>.</w:t>
      </w:r>
    </w:p>
    <w:p w:rsidR="00A85B1A" w:rsidRPr="00310690" w:rsidRDefault="00A85B1A" w:rsidP="00A85B1A">
      <w:pPr>
        <w:ind w:firstLine="567"/>
        <w:rPr>
          <w:rFonts w:cs="Arial"/>
          <w:b/>
        </w:rPr>
      </w:pPr>
    </w:p>
    <w:p w:rsidR="00431F94" w:rsidRPr="00310690" w:rsidRDefault="008D22CD" w:rsidP="009270F2">
      <w:pPr>
        <w:tabs>
          <w:tab w:val="left" w:pos="567"/>
        </w:tabs>
        <w:rPr>
          <w:rFonts w:cs="Arial"/>
          <w:b/>
          <w:u w:val="single"/>
        </w:rPr>
      </w:pPr>
      <w:r w:rsidRPr="00310690">
        <w:rPr>
          <w:rFonts w:cs="Arial"/>
        </w:rPr>
        <w:tab/>
      </w:r>
    </w:p>
    <w:p w:rsidR="005B384C" w:rsidRPr="00AB13E8" w:rsidRDefault="005B384C" w:rsidP="00AB13E8">
      <w:pPr>
        <w:shd w:val="clear" w:color="auto" w:fill="D9D9D9" w:themeFill="background1" w:themeFillShade="D9"/>
        <w:tabs>
          <w:tab w:val="left" w:pos="567"/>
        </w:tabs>
        <w:ind w:firstLine="567"/>
        <w:rPr>
          <w:rFonts w:cs="Arial"/>
          <w:b/>
        </w:rPr>
      </w:pPr>
      <w:r w:rsidRPr="00AB13E8">
        <w:rPr>
          <w:rFonts w:cs="Arial"/>
          <w:b/>
        </w:rPr>
        <w:t>Jedinice l</w:t>
      </w:r>
      <w:r w:rsidR="0079058B" w:rsidRPr="00AB13E8">
        <w:rPr>
          <w:rFonts w:cs="Arial"/>
          <w:b/>
        </w:rPr>
        <w:t>okalne</w:t>
      </w:r>
      <w:r w:rsidRPr="00AB13E8">
        <w:rPr>
          <w:rFonts w:cs="Arial"/>
          <w:b/>
        </w:rPr>
        <w:t xml:space="preserve"> i područne (regionalne) samouprave</w:t>
      </w:r>
    </w:p>
    <w:p w:rsidR="005B384C" w:rsidRPr="00310690" w:rsidRDefault="005B384C" w:rsidP="009270F2">
      <w:pPr>
        <w:tabs>
          <w:tab w:val="left" w:pos="567"/>
        </w:tabs>
        <w:ind w:firstLine="567"/>
        <w:rPr>
          <w:rFonts w:cs="Arial"/>
          <w:b/>
          <w:u w:val="single"/>
        </w:rPr>
      </w:pPr>
    </w:p>
    <w:p w:rsidR="00D43177" w:rsidRPr="009A73C7" w:rsidRDefault="002C2B28" w:rsidP="002C2B28">
      <w:pPr>
        <w:tabs>
          <w:tab w:val="left" w:pos="567"/>
        </w:tabs>
        <w:ind w:firstLine="567"/>
        <w:rPr>
          <w:rFonts w:cs="Arial"/>
          <w:b/>
        </w:rPr>
      </w:pPr>
      <w:r w:rsidRPr="00310690">
        <w:rPr>
          <w:rFonts w:cs="Arial"/>
        </w:rPr>
        <w:t>Obavlj</w:t>
      </w:r>
      <w:r w:rsidR="00AB1756" w:rsidRPr="00310690">
        <w:rPr>
          <w:rFonts w:cs="Arial"/>
        </w:rPr>
        <w:t>e</w:t>
      </w:r>
      <w:r w:rsidRPr="00310690">
        <w:rPr>
          <w:rFonts w:cs="Arial"/>
        </w:rPr>
        <w:t>nom f</w:t>
      </w:r>
      <w:r w:rsidR="00D43177" w:rsidRPr="00310690">
        <w:rPr>
          <w:rFonts w:cs="Arial"/>
        </w:rPr>
        <w:t xml:space="preserve">inancijskom revizijom </w:t>
      </w:r>
      <w:r w:rsidR="00693E08">
        <w:rPr>
          <w:rFonts w:cs="Arial"/>
        </w:rPr>
        <w:t>obuhvaćeni su financijski izvještaji</w:t>
      </w:r>
      <w:r w:rsidR="00D43177" w:rsidRPr="00310690">
        <w:rPr>
          <w:rFonts w:cs="Arial"/>
        </w:rPr>
        <w:t xml:space="preserve"> i poslovanje </w:t>
      </w:r>
      <w:r w:rsidRPr="009A73C7">
        <w:rPr>
          <w:rFonts w:cs="Arial"/>
          <w:b/>
        </w:rPr>
        <w:t xml:space="preserve">Krapinsko-zagorske županije, gradova Šibenika </w:t>
      </w:r>
      <w:r w:rsidRPr="00AB13E8">
        <w:rPr>
          <w:rFonts w:cs="Arial"/>
        </w:rPr>
        <w:t>i</w:t>
      </w:r>
      <w:r w:rsidRPr="009A73C7">
        <w:rPr>
          <w:rFonts w:cs="Arial"/>
          <w:b/>
        </w:rPr>
        <w:t xml:space="preserve"> Zaboka</w:t>
      </w:r>
      <w:r w:rsidRPr="00310690">
        <w:rPr>
          <w:rFonts w:cs="Arial"/>
        </w:rPr>
        <w:t xml:space="preserve"> te triju općina: </w:t>
      </w:r>
      <w:r w:rsidRPr="009A73C7">
        <w:rPr>
          <w:rFonts w:cs="Arial"/>
          <w:b/>
        </w:rPr>
        <w:t xml:space="preserve">Donji </w:t>
      </w:r>
      <w:proofErr w:type="spellStart"/>
      <w:r w:rsidRPr="009A73C7">
        <w:rPr>
          <w:rFonts w:cs="Arial"/>
          <w:b/>
        </w:rPr>
        <w:t>Andrijevci</w:t>
      </w:r>
      <w:proofErr w:type="spellEnd"/>
      <w:r w:rsidRPr="009A73C7">
        <w:rPr>
          <w:rFonts w:cs="Arial"/>
          <w:b/>
        </w:rPr>
        <w:t xml:space="preserve">, Kumrovec </w:t>
      </w:r>
      <w:r w:rsidRPr="00AB13E8">
        <w:rPr>
          <w:rFonts w:cs="Arial"/>
        </w:rPr>
        <w:t>i</w:t>
      </w:r>
      <w:r w:rsidRPr="009A73C7">
        <w:rPr>
          <w:rFonts w:cs="Arial"/>
          <w:b/>
        </w:rPr>
        <w:t xml:space="preserve"> </w:t>
      </w:r>
      <w:proofErr w:type="spellStart"/>
      <w:r w:rsidRPr="009A73C7">
        <w:rPr>
          <w:rFonts w:cs="Arial"/>
          <w:b/>
        </w:rPr>
        <w:t>Seget</w:t>
      </w:r>
      <w:proofErr w:type="spellEnd"/>
      <w:r w:rsidRPr="009A73C7">
        <w:rPr>
          <w:rFonts w:cs="Arial"/>
          <w:b/>
        </w:rPr>
        <w:t>.</w:t>
      </w:r>
    </w:p>
    <w:p w:rsidR="002C2B28" w:rsidRPr="00310690" w:rsidRDefault="002C2B28" w:rsidP="002C2B28">
      <w:pPr>
        <w:tabs>
          <w:tab w:val="left" w:pos="567"/>
        </w:tabs>
        <w:rPr>
          <w:rFonts w:cs="Arial"/>
        </w:rPr>
      </w:pPr>
    </w:p>
    <w:p w:rsidR="00D43177" w:rsidRPr="00310690" w:rsidRDefault="002C2B28" w:rsidP="00D43177">
      <w:pPr>
        <w:ind w:firstLine="567"/>
        <w:rPr>
          <w:rFonts w:cs="Arial"/>
        </w:rPr>
      </w:pPr>
      <w:r w:rsidRPr="00310690">
        <w:rPr>
          <w:rFonts w:cs="Arial"/>
        </w:rPr>
        <w:t>C</w:t>
      </w:r>
      <w:r w:rsidR="00D43177" w:rsidRPr="00310690">
        <w:rPr>
          <w:rFonts w:cs="Arial"/>
        </w:rPr>
        <w:t>iljevi revizije bili su provjeriti:</w:t>
      </w:r>
    </w:p>
    <w:p w:rsidR="00D43177" w:rsidRPr="00310690" w:rsidRDefault="00D43177" w:rsidP="00D43177">
      <w:pPr>
        <w:rPr>
          <w:rFonts w:cs="Arial"/>
        </w:rPr>
      </w:pPr>
    </w:p>
    <w:p w:rsidR="00D43177" w:rsidRPr="00310690" w:rsidRDefault="00D43177" w:rsidP="00A25FC5">
      <w:pPr>
        <w:tabs>
          <w:tab w:val="left" w:pos="567"/>
        </w:tabs>
        <w:ind w:left="1134" w:hanging="567"/>
        <w:rPr>
          <w:rFonts w:cs="Arial"/>
        </w:rPr>
      </w:pPr>
      <w:r w:rsidRPr="00310690">
        <w:rPr>
          <w:rFonts w:cs="Arial"/>
        </w:rPr>
        <w:t>–</w:t>
      </w:r>
      <w:r w:rsidRPr="00310690">
        <w:rPr>
          <w:rFonts w:cs="Arial"/>
        </w:rPr>
        <w:tab/>
        <w:t xml:space="preserve">istinitost i vjerodostojnost financijskih izvještaja </w:t>
      </w:r>
    </w:p>
    <w:p w:rsidR="00D43177" w:rsidRPr="00310690" w:rsidRDefault="00D43177" w:rsidP="00A25FC5">
      <w:pPr>
        <w:tabs>
          <w:tab w:val="left" w:pos="567"/>
        </w:tabs>
        <w:ind w:left="1134" w:hanging="567"/>
        <w:rPr>
          <w:rFonts w:cs="Arial"/>
        </w:rPr>
      </w:pPr>
      <w:r w:rsidRPr="00310690">
        <w:rPr>
          <w:rFonts w:cs="Arial"/>
        </w:rPr>
        <w:t>–</w:t>
      </w:r>
      <w:r w:rsidRPr="00310690">
        <w:rPr>
          <w:rFonts w:cs="Arial"/>
        </w:rPr>
        <w:tab/>
        <w:t xml:space="preserve">usklađenost poslovanja sa zakonima i drugim propisima koji imaju značajan utjecaj na poslovanje </w:t>
      </w:r>
    </w:p>
    <w:p w:rsidR="008D7BC2" w:rsidRDefault="00D43177" w:rsidP="00A25FC5">
      <w:pPr>
        <w:tabs>
          <w:tab w:val="left" w:pos="567"/>
        </w:tabs>
        <w:ind w:left="1134" w:hanging="567"/>
        <w:rPr>
          <w:rFonts w:cs="Arial"/>
        </w:rPr>
      </w:pPr>
      <w:r w:rsidRPr="00310690">
        <w:rPr>
          <w:rFonts w:cs="Arial"/>
        </w:rPr>
        <w:t>–</w:t>
      </w:r>
      <w:r w:rsidRPr="00310690">
        <w:rPr>
          <w:rFonts w:cs="Arial"/>
        </w:rPr>
        <w:tab/>
        <w:t>provedbu naloga i preporuka iz prošle revizije</w:t>
      </w:r>
    </w:p>
    <w:p w:rsidR="00D43177" w:rsidRPr="00310690" w:rsidRDefault="00D43177" w:rsidP="00A25FC5">
      <w:pPr>
        <w:tabs>
          <w:tab w:val="left" w:pos="567"/>
        </w:tabs>
        <w:ind w:left="1134" w:hanging="567"/>
        <w:rPr>
          <w:rFonts w:cs="Arial"/>
        </w:rPr>
      </w:pPr>
      <w:r w:rsidRPr="00310690">
        <w:rPr>
          <w:rFonts w:cs="Arial"/>
        </w:rPr>
        <w:t>–</w:t>
      </w:r>
      <w:r w:rsidRPr="00310690">
        <w:rPr>
          <w:rFonts w:cs="Arial"/>
        </w:rPr>
        <w:tab/>
        <w:t xml:space="preserve">druge aktivnosti u vezi s poslovanjem. </w:t>
      </w:r>
    </w:p>
    <w:p w:rsidR="00D43177" w:rsidRPr="00310690" w:rsidRDefault="00D43177" w:rsidP="00A25FC5">
      <w:pPr>
        <w:ind w:firstLine="567"/>
        <w:rPr>
          <w:rFonts w:cs="Arial"/>
        </w:rPr>
      </w:pPr>
    </w:p>
    <w:p w:rsidR="00D43177" w:rsidRPr="00310690" w:rsidRDefault="00D43177" w:rsidP="00A25FC5">
      <w:pPr>
        <w:ind w:firstLine="567"/>
        <w:rPr>
          <w:rFonts w:cs="Arial"/>
        </w:rPr>
      </w:pPr>
      <w:r w:rsidRPr="00310690">
        <w:rPr>
          <w:rFonts w:cs="Arial"/>
        </w:rPr>
        <w:t>Županiji</w:t>
      </w:r>
      <w:r w:rsidR="008D7BC2">
        <w:rPr>
          <w:rFonts w:cs="Arial"/>
        </w:rPr>
        <w:t xml:space="preserve"> i gradovima </w:t>
      </w:r>
      <w:r w:rsidRPr="00310690">
        <w:rPr>
          <w:rFonts w:cs="Arial"/>
        </w:rPr>
        <w:t xml:space="preserve">izražena </w:t>
      </w:r>
      <w:r w:rsidR="008D7BC2">
        <w:rPr>
          <w:rFonts w:cs="Arial"/>
        </w:rPr>
        <w:t xml:space="preserve">su </w:t>
      </w:r>
      <w:r w:rsidRPr="00310690">
        <w:rPr>
          <w:rFonts w:cs="Arial"/>
          <w:b/>
        </w:rPr>
        <w:t xml:space="preserve">bezuvjetna mišljenja </w:t>
      </w:r>
      <w:r w:rsidR="00693E08">
        <w:rPr>
          <w:rFonts w:cs="Arial"/>
          <w:b/>
        </w:rPr>
        <w:t xml:space="preserve">o financijskim izvještajima i </w:t>
      </w:r>
      <w:r w:rsidRPr="00310690">
        <w:rPr>
          <w:rFonts w:cs="Arial"/>
          <w:b/>
        </w:rPr>
        <w:t>usklađenosti poslovanja.</w:t>
      </w:r>
      <w:r w:rsidRPr="00310690">
        <w:rPr>
          <w:rFonts w:cs="Arial"/>
        </w:rPr>
        <w:t xml:space="preserve"> Općinama su izražena </w:t>
      </w:r>
      <w:r w:rsidRPr="00310690">
        <w:rPr>
          <w:rFonts w:cs="Arial"/>
          <w:b/>
        </w:rPr>
        <w:t xml:space="preserve">uvjetna mišljenja o usklađenosti poslovanja, a bezuvjetna i uvjetna </w:t>
      </w:r>
      <w:r w:rsidR="002C2B28" w:rsidRPr="00310690">
        <w:rPr>
          <w:rFonts w:cs="Arial"/>
          <w:b/>
        </w:rPr>
        <w:t>o</w:t>
      </w:r>
      <w:r w:rsidRPr="00310690">
        <w:rPr>
          <w:rFonts w:cs="Arial"/>
          <w:b/>
        </w:rPr>
        <w:t xml:space="preserve"> financijsk</w:t>
      </w:r>
      <w:r w:rsidR="002C2B28" w:rsidRPr="00310690">
        <w:rPr>
          <w:rFonts w:cs="Arial"/>
          <w:b/>
        </w:rPr>
        <w:t>im izvještajima</w:t>
      </w:r>
      <w:r w:rsidRPr="00310690">
        <w:rPr>
          <w:rFonts w:cs="Arial"/>
        </w:rPr>
        <w:t>.</w:t>
      </w:r>
    </w:p>
    <w:p w:rsidR="00D43177" w:rsidRDefault="00D43177" w:rsidP="00D43177">
      <w:pPr>
        <w:rPr>
          <w:rFonts w:cs="Arial"/>
        </w:rPr>
      </w:pPr>
    </w:p>
    <w:p w:rsidR="00F966E8" w:rsidRDefault="00F966E8" w:rsidP="00D43177">
      <w:pPr>
        <w:rPr>
          <w:rFonts w:cs="Arial"/>
        </w:rPr>
      </w:pPr>
    </w:p>
    <w:p w:rsidR="00AB13E8" w:rsidRPr="00310690" w:rsidRDefault="00AB13E8" w:rsidP="00D43177">
      <w:pPr>
        <w:rPr>
          <w:rFonts w:cs="Arial"/>
        </w:rPr>
      </w:pPr>
    </w:p>
    <w:p w:rsidR="00D43177" w:rsidRPr="00310690" w:rsidRDefault="00D43177" w:rsidP="00A25FC5">
      <w:pPr>
        <w:ind w:firstLine="567"/>
        <w:rPr>
          <w:rFonts w:cs="Arial"/>
        </w:rPr>
      </w:pPr>
      <w:r w:rsidRPr="00310690">
        <w:rPr>
          <w:rFonts w:cs="Arial"/>
        </w:rPr>
        <w:t>Na uvjetno mišljenje o usklađenosti poslovanja utjecale su nepravilnosti uočene kod naplate potraživanja</w:t>
      </w:r>
      <w:r w:rsidR="002C2B28" w:rsidRPr="00310690">
        <w:rPr>
          <w:rFonts w:cs="Arial"/>
        </w:rPr>
        <w:t xml:space="preserve"> (ni</w:t>
      </w:r>
      <w:r w:rsidRPr="00310690">
        <w:rPr>
          <w:rFonts w:cs="Arial"/>
        </w:rPr>
        <w:t>su poduzimane dostatne mjere</w:t>
      </w:r>
      <w:r w:rsidR="002C2B28" w:rsidRPr="00310690">
        <w:rPr>
          <w:rFonts w:cs="Arial"/>
        </w:rPr>
        <w:t>)</w:t>
      </w:r>
      <w:r w:rsidRPr="00310690">
        <w:rPr>
          <w:rFonts w:cs="Arial"/>
        </w:rPr>
        <w:t xml:space="preserve">, u području komunalnog gospodarstva </w:t>
      </w:r>
      <w:r w:rsidR="002C2B28" w:rsidRPr="00310690">
        <w:rPr>
          <w:rFonts w:cs="Arial"/>
        </w:rPr>
        <w:t>(</w:t>
      </w:r>
      <w:r w:rsidRPr="00310690">
        <w:rPr>
          <w:rFonts w:cs="Arial"/>
        </w:rPr>
        <w:t>u dijelu sadržaja programa održavanja i povjeravanja obavljanja komunalnih djelatnosti</w:t>
      </w:r>
      <w:r w:rsidR="002C2B28" w:rsidRPr="00310690">
        <w:rPr>
          <w:rFonts w:cs="Arial"/>
        </w:rPr>
        <w:t>)</w:t>
      </w:r>
      <w:r w:rsidRPr="00310690">
        <w:rPr>
          <w:rFonts w:cs="Arial"/>
        </w:rPr>
        <w:t xml:space="preserve"> te kod javne nabave </w:t>
      </w:r>
      <w:r w:rsidR="002C2B28" w:rsidRPr="00310690">
        <w:rPr>
          <w:rFonts w:cs="Arial"/>
        </w:rPr>
        <w:t>(</w:t>
      </w:r>
      <w:r w:rsidRPr="00310690">
        <w:rPr>
          <w:rFonts w:cs="Arial"/>
        </w:rPr>
        <w:t>u dijelu planiranja nabave i vođenja evidencija o provedenim postupcima nabave</w:t>
      </w:r>
      <w:r w:rsidR="002C2B28" w:rsidRPr="00310690">
        <w:rPr>
          <w:rFonts w:cs="Arial"/>
        </w:rPr>
        <w:t>)</w:t>
      </w:r>
      <w:r w:rsidRPr="00310690">
        <w:rPr>
          <w:rFonts w:cs="Arial"/>
        </w:rPr>
        <w:t xml:space="preserve">. </w:t>
      </w:r>
    </w:p>
    <w:p w:rsidR="00D43177" w:rsidRPr="00310690" w:rsidRDefault="00D43177" w:rsidP="00D43177">
      <w:pPr>
        <w:rPr>
          <w:rFonts w:cs="Arial"/>
        </w:rPr>
      </w:pPr>
    </w:p>
    <w:p w:rsidR="00D43177" w:rsidRPr="00310690" w:rsidRDefault="00D43177" w:rsidP="00D43177">
      <w:pPr>
        <w:ind w:firstLine="709"/>
        <w:rPr>
          <w:rFonts w:cs="Arial"/>
          <w:b/>
        </w:rPr>
      </w:pPr>
      <w:r w:rsidRPr="00310690">
        <w:rPr>
          <w:rFonts w:cs="Arial"/>
        </w:rPr>
        <w:t xml:space="preserve">Za utvrđene nepravilnosti i propuste </w:t>
      </w:r>
      <w:r w:rsidR="002C2B28" w:rsidRPr="00310690">
        <w:rPr>
          <w:rFonts w:cs="Arial"/>
        </w:rPr>
        <w:t>ovim subjektima dano je</w:t>
      </w:r>
      <w:r w:rsidRPr="00310690">
        <w:rPr>
          <w:rFonts w:cs="Arial"/>
        </w:rPr>
        <w:t xml:space="preserve"> </w:t>
      </w:r>
      <w:r w:rsidRPr="00310690">
        <w:rPr>
          <w:rFonts w:cs="Arial"/>
          <w:b/>
        </w:rPr>
        <w:t>50 naloga i 21 preporuka.</w:t>
      </w:r>
    </w:p>
    <w:p w:rsidR="00D43177" w:rsidRPr="00310690" w:rsidRDefault="00D43177" w:rsidP="00D43177">
      <w:pPr>
        <w:rPr>
          <w:rFonts w:cs="Arial"/>
        </w:rPr>
      </w:pPr>
    </w:p>
    <w:p w:rsidR="000E5ADF" w:rsidRPr="00310690" w:rsidRDefault="000E5ADF" w:rsidP="000E5ADF">
      <w:pPr>
        <w:ind w:firstLine="567"/>
        <w:rPr>
          <w:rFonts w:cs="Arial"/>
        </w:rPr>
      </w:pPr>
    </w:p>
    <w:p w:rsidR="0079058B" w:rsidRPr="00AB13E8" w:rsidRDefault="00967336" w:rsidP="00AB13E8">
      <w:pPr>
        <w:shd w:val="clear" w:color="auto" w:fill="D9D9D9" w:themeFill="background1" w:themeFillShade="D9"/>
        <w:tabs>
          <w:tab w:val="left" w:pos="567"/>
        </w:tabs>
        <w:ind w:firstLine="567"/>
        <w:rPr>
          <w:rFonts w:cs="Arial"/>
          <w:b/>
          <w:color w:val="000000"/>
        </w:rPr>
      </w:pPr>
      <w:r w:rsidRPr="00AB13E8">
        <w:rPr>
          <w:rFonts w:cs="Arial"/>
          <w:b/>
          <w:color w:val="000000"/>
        </w:rPr>
        <w:t>Trgovačk</w:t>
      </w:r>
      <w:r w:rsidR="008A7AC6" w:rsidRPr="00AB13E8">
        <w:rPr>
          <w:rFonts w:cs="Arial"/>
          <w:b/>
          <w:color w:val="000000"/>
        </w:rPr>
        <w:t>a</w:t>
      </w:r>
      <w:r w:rsidR="0079058B" w:rsidRPr="00AB13E8">
        <w:rPr>
          <w:rFonts w:cs="Arial"/>
          <w:b/>
          <w:color w:val="000000"/>
        </w:rPr>
        <w:t xml:space="preserve"> društv</w:t>
      </w:r>
      <w:r w:rsidR="008A7AC6" w:rsidRPr="00AB13E8">
        <w:rPr>
          <w:rFonts w:cs="Arial"/>
          <w:b/>
          <w:color w:val="000000"/>
        </w:rPr>
        <w:t>a</w:t>
      </w:r>
      <w:r w:rsidR="0025716B" w:rsidRPr="00AB13E8">
        <w:rPr>
          <w:rFonts w:cs="Arial"/>
          <w:b/>
          <w:color w:val="000000"/>
        </w:rPr>
        <w:t xml:space="preserve"> u vlasništvu lokaln</w:t>
      </w:r>
      <w:r w:rsidR="008A7AC6" w:rsidRPr="00AB13E8">
        <w:rPr>
          <w:rFonts w:cs="Arial"/>
          <w:b/>
          <w:color w:val="000000"/>
        </w:rPr>
        <w:t>ih</w:t>
      </w:r>
      <w:r w:rsidR="0079058B" w:rsidRPr="00AB13E8">
        <w:rPr>
          <w:rFonts w:cs="Arial"/>
          <w:b/>
          <w:color w:val="000000"/>
        </w:rPr>
        <w:t xml:space="preserve"> jedinic</w:t>
      </w:r>
      <w:r w:rsidR="008A7AC6" w:rsidRPr="00AB13E8">
        <w:rPr>
          <w:rFonts w:cs="Arial"/>
          <w:b/>
          <w:color w:val="000000"/>
        </w:rPr>
        <w:t>a</w:t>
      </w:r>
    </w:p>
    <w:p w:rsidR="0079058B" w:rsidRPr="00310690" w:rsidRDefault="0079058B" w:rsidP="009270F2">
      <w:pPr>
        <w:tabs>
          <w:tab w:val="left" w:pos="567"/>
        </w:tabs>
        <w:ind w:firstLine="567"/>
        <w:rPr>
          <w:rFonts w:cs="Arial"/>
          <w:color w:val="000000"/>
        </w:rPr>
      </w:pPr>
    </w:p>
    <w:p w:rsidR="00AB13E8" w:rsidRPr="008B7D3F" w:rsidRDefault="00AB13E8" w:rsidP="00AB13E8">
      <w:pPr>
        <w:pStyle w:val="Tijeloteksta"/>
        <w:kinsoku w:val="0"/>
        <w:overflowPunct w:val="0"/>
        <w:ind w:right="-1" w:firstLine="567"/>
        <w:jc w:val="both"/>
        <w:rPr>
          <w:rFonts w:ascii="Arial" w:hAnsi="Arial" w:cs="Arial"/>
          <w:b/>
          <w:bCs/>
          <w:color w:val="231F20"/>
        </w:rPr>
      </w:pPr>
      <w:r w:rsidRPr="008B7D3F">
        <w:rPr>
          <w:rFonts w:ascii="Arial" w:hAnsi="Arial" w:cs="Arial"/>
          <w:b/>
        </w:rPr>
        <w:t xml:space="preserve">Za tri trgovačka društva u vlasništvu lokalnih jedinica </w:t>
      </w:r>
      <w:r w:rsidRPr="008B7D3F">
        <w:rPr>
          <w:rFonts w:ascii="Arial" w:hAnsi="Arial" w:cs="Arial"/>
        </w:rPr>
        <w:t xml:space="preserve">izražena su </w:t>
      </w:r>
      <w:r w:rsidRPr="008B7D3F">
        <w:rPr>
          <w:rFonts w:ascii="Arial" w:hAnsi="Arial" w:cs="Arial"/>
          <w:b/>
        </w:rPr>
        <w:t>uvjetna mišljenja</w:t>
      </w:r>
      <w:r w:rsidRPr="008B7D3F">
        <w:rPr>
          <w:rFonts w:ascii="Arial" w:hAnsi="Arial" w:cs="Arial"/>
        </w:rPr>
        <w:t xml:space="preserve"> </w:t>
      </w:r>
      <w:r>
        <w:rPr>
          <w:rFonts w:ascii="Arial" w:hAnsi="Arial" w:cs="Arial"/>
        </w:rPr>
        <w:t xml:space="preserve">i </w:t>
      </w:r>
      <w:r w:rsidRPr="008B7D3F">
        <w:rPr>
          <w:rFonts w:ascii="Arial" w:hAnsi="Arial" w:cs="Arial"/>
        </w:rPr>
        <w:t>o</w:t>
      </w:r>
      <w:r w:rsidRPr="008B7D3F">
        <w:rPr>
          <w:rFonts w:ascii="Arial" w:hAnsi="Arial" w:cs="Arial"/>
          <w:bCs/>
          <w:color w:val="231F20"/>
        </w:rPr>
        <w:t xml:space="preserve"> financijskim izvještajima</w:t>
      </w:r>
      <w:r w:rsidRPr="008B7D3F">
        <w:rPr>
          <w:rFonts w:ascii="Arial" w:eastAsia="Times New Roman" w:hAnsi="Arial" w:cs="Arial"/>
        </w:rPr>
        <w:t xml:space="preserve"> </w:t>
      </w:r>
      <w:r>
        <w:rPr>
          <w:rFonts w:ascii="Arial" w:hAnsi="Arial" w:cs="Arial"/>
          <w:bCs/>
          <w:color w:val="231F20"/>
        </w:rPr>
        <w:t>i</w:t>
      </w:r>
      <w:r w:rsidRPr="008B7D3F">
        <w:rPr>
          <w:rFonts w:ascii="Arial" w:hAnsi="Arial" w:cs="Arial"/>
          <w:bCs/>
          <w:color w:val="231F20"/>
        </w:rPr>
        <w:t xml:space="preserve"> o usklađenosti poslovanja.</w:t>
      </w:r>
    </w:p>
    <w:p w:rsidR="00582907" w:rsidRPr="00310690" w:rsidRDefault="00582907" w:rsidP="009270F2">
      <w:pPr>
        <w:rPr>
          <w:rFonts w:cs="Arial"/>
        </w:rPr>
      </w:pPr>
    </w:p>
    <w:p w:rsidR="00BE527B" w:rsidRPr="00310690" w:rsidRDefault="00BE527B" w:rsidP="00BE527B">
      <w:pPr>
        <w:tabs>
          <w:tab w:val="left" w:pos="567"/>
        </w:tabs>
        <w:rPr>
          <w:rFonts w:cs="Arial"/>
        </w:rPr>
      </w:pPr>
      <w:r w:rsidRPr="00310690">
        <w:rPr>
          <w:rFonts w:cs="Arial"/>
          <w:b/>
        </w:rPr>
        <w:tab/>
        <w:t>Ciljevi revizije</w:t>
      </w:r>
      <w:r w:rsidRPr="00310690">
        <w:rPr>
          <w:rFonts w:cs="Arial"/>
        </w:rPr>
        <w:t xml:space="preserve"> bili su:</w:t>
      </w:r>
    </w:p>
    <w:p w:rsidR="00BE527B" w:rsidRPr="00310690" w:rsidRDefault="00BE527B" w:rsidP="00A25FC5">
      <w:pPr>
        <w:widowControl/>
        <w:numPr>
          <w:ilvl w:val="0"/>
          <w:numId w:val="1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firstLine="0"/>
        <w:contextualSpacing/>
        <w:textAlignment w:val="baseline"/>
        <w:rPr>
          <w:rFonts w:cs="Arial"/>
        </w:rPr>
      </w:pPr>
      <w:r w:rsidRPr="00310690">
        <w:rPr>
          <w:rFonts w:cs="Arial"/>
        </w:rPr>
        <w:t xml:space="preserve">provjeriti istinitost i vjerodostojnost financijskih izvještaja </w:t>
      </w:r>
    </w:p>
    <w:p w:rsidR="005415F8" w:rsidRPr="00310690" w:rsidRDefault="00BE527B" w:rsidP="005415F8">
      <w:pPr>
        <w:widowControl/>
        <w:numPr>
          <w:ilvl w:val="0"/>
          <w:numId w:val="1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firstLine="0"/>
        <w:contextualSpacing/>
        <w:textAlignment w:val="baseline"/>
        <w:rPr>
          <w:rFonts w:cs="Arial"/>
        </w:rPr>
      </w:pPr>
      <w:r w:rsidRPr="00310690">
        <w:rPr>
          <w:rFonts w:cs="Arial"/>
        </w:rPr>
        <w:t>provjeriti usklađenost poslovanja sa zakonima i drugim propisima koji imaju</w:t>
      </w:r>
    </w:p>
    <w:p w:rsidR="00BE527B" w:rsidRPr="00310690" w:rsidRDefault="005415F8"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contextualSpacing/>
        <w:textAlignment w:val="baseline"/>
        <w:rPr>
          <w:rFonts w:cs="Arial"/>
        </w:rPr>
      </w:pPr>
      <w:r w:rsidRPr="00310690">
        <w:rPr>
          <w:rFonts w:cs="Arial"/>
        </w:rPr>
        <w:tab/>
      </w:r>
      <w:r w:rsidR="00BE527B" w:rsidRPr="00310690">
        <w:rPr>
          <w:rFonts w:cs="Arial"/>
        </w:rPr>
        <w:t>značajan utjecaj na poslovanje</w:t>
      </w:r>
    </w:p>
    <w:p w:rsidR="00BE527B" w:rsidRPr="00310690" w:rsidRDefault="00BE527B" w:rsidP="005415F8">
      <w:pPr>
        <w:widowControl/>
        <w:numPr>
          <w:ilvl w:val="0"/>
          <w:numId w:val="1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firstLine="0"/>
        <w:contextualSpacing/>
        <w:textAlignment w:val="baseline"/>
        <w:rPr>
          <w:rFonts w:cs="Arial"/>
        </w:rPr>
      </w:pPr>
      <w:r w:rsidRPr="00310690">
        <w:rPr>
          <w:rFonts w:cs="Arial"/>
        </w:rPr>
        <w:t>provjeriti provedbu naloga</w:t>
      </w:r>
      <w:r w:rsidR="008D7BC2">
        <w:rPr>
          <w:rFonts w:cs="Arial"/>
        </w:rPr>
        <w:t xml:space="preserve"> i preporuka iz prošle revizije</w:t>
      </w:r>
    </w:p>
    <w:p w:rsidR="00BE527B" w:rsidRPr="00310690" w:rsidRDefault="00BE527B" w:rsidP="005415F8">
      <w:pPr>
        <w:widowControl/>
        <w:numPr>
          <w:ilvl w:val="0"/>
          <w:numId w:val="1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firstLine="0"/>
        <w:contextualSpacing/>
        <w:textAlignment w:val="baseline"/>
        <w:rPr>
          <w:rFonts w:cs="Arial"/>
        </w:rPr>
      </w:pPr>
      <w:r w:rsidRPr="00310690">
        <w:rPr>
          <w:rFonts w:cs="Arial"/>
        </w:rPr>
        <w:t>provjeriti druge aktivnosti u vezi s poslovanjem subjekta.</w:t>
      </w:r>
    </w:p>
    <w:p w:rsidR="00BE527B" w:rsidRPr="00310690" w:rsidRDefault="00BE527B" w:rsidP="00BE527B">
      <w:pPr>
        <w:pStyle w:val="Tijeloteksta"/>
        <w:kinsoku w:val="0"/>
        <w:overflowPunct w:val="0"/>
        <w:ind w:right="-1" w:firstLine="567"/>
        <w:jc w:val="both"/>
        <w:rPr>
          <w:rFonts w:ascii="Arial" w:hAnsi="Arial" w:cs="Arial"/>
        </w:rPr>
      </w:pPr>
    </w:p>
    <w:p w:rsidR="00BE527B" w:rsidRPr="00310690" w:rsidRDefault="00BE527B" w:rsidP="00BE527B">
      <w:pPr>
        <w:tabs>
          <w:tab w:val="left" w:pos="567"/>
        </w:tabs>
        <w:ind w:firstLine="567"/>
        <w:rPr>
          <w:rFonts w:cs="Arial"/>
        </w:rPr>
      </w:pPr>
      <w:r w:rsidRPr="00310690">
        <w:rPr>
          <w:rFonts w:cs="Arial"/>
        </w:rPr>
        <w:t xml:space="preserve">Utvrđene nepravilnosti odnosile su se na sustav unutarnjih kontrola, planiranje, računovodstveno poslovanje i financijske izvještaje, prihode i potraživanja, rashode i obveze te javnu nabavu. </w:t>
      </w:r>
    </w:p>
    <w:p w:rsidR="00BE527B" w:rsidRPr="00310690" w:rsidRDefault="00BE527B" w:rsidP="00BE527B">
      <w:pPr>
        <w:tabs>
          <w:tab w:val="left" w:pos="567"/>
        </w:tabs>
        <w:ind w:firstLine="567"/>
        <w:rPr>
          <w:rFonts w:cs="Arial"/>
        </w:rPr>
      </w:pPr>
    </w:p>
    <w:p w:rsidR="00BE527B" w:rsidRPr="00310690" w:rsidRDefault="00BE527B" w:rsidP="00BE527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right="-23"/>
        <w:textAlignment w:val="baseline"/>
        <w:rPr>
          <w:rFonts w:cs="Arial"/>
        </w:rPr>
      </w:pPr>
      <w:r w:rsidRPr="00310690">
        <w:rPr>
          <w:rFonts w:cs="Arial"/>
        </w:rPr>
        <w:tab/>
      </w:r>
      <w:r w:rsidR="007217A4" w:rsidRPr="00310690">
        <w:rPr>
          <w:rFonts w:cs="Arial"/>
        </w:rPr>
        <w:t>N</w:t>
      </w:r>
      <w:r w:rsidR="008B2444" w:rsidRPr="00310690">
        <w:rPr>
          <w:rFonts w:cs="Arial"/>
        </w:rPr>
        <w:t>epravilnosti su se,</w:t>
      </w:r>
      <w:r w:rsidRPr="00310690">
        <w:rPr>
          <w:rFonts w:cs="Arial"/>
        </w:rPr>
        <w:t xml:space="preserve"> </w:t>
      </w:r>
      <w:r w:rsidR="008B2444" w:rsidRPr="00310690">
        <w:rPr>
          <w:rFonts w:cs="Arial"/>
        </w:rPr>
        <w:t>između ostalog,</w:t>
      </w:r>
      <w:r w:rsidRPr="00310690">
        <w:rPr>
          <w:rFonts w:cs="Arial"/>
        </w:rPr>
        <w:t xml:space="preserve"> odnosile na sljedeće:</w:t>
      </w:r>
    </w:p>
    <w:p w:rsidR="00BE527B" w:rsidRPr="00310690" w:rsidRDefault="00BE527B" w:rsidP="00BE527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right="-23"/>
        <w:textAlignment w:val="baseline"/>
        <w:rPr>
          <w:rFonts w:cs="Arial"/>
        </w:rPr>
      </w:pPr>
    </w:p>
    <w:p w:rsidR="00BE527B" w:rsidRPr="00310690" w:rsidRDefault="00BE527B"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2" w:hanging="992"/>
        <w:textAlignment w:val="baseline"/>
        <w:rPr>
          <w:rFonts w:eastAsiaTheme="minorHAnsi" w:cs="Arial"/>
          <w:szCs w:val="22"/>
          <w:lang w:eastAsia="en-US"/>
        </w:rPr>
      </w:pPr>
      <w:r w:rsidRPr="00310690">
        <w:rPr>
          <w:rFonts w:cs="Arial"/>
        </w:rPr>
        <w:tab/>
        <w:t>–</w:t>
      </w:r>
      <w:r w:rsidRPr="00310690">
        <w:rPr>
          <w:rFonts w:cs="Arial"/>
        </w:rPr>
        <w:tab/>
      </w:r>
      <w:r w:rsidR="00B90ACF" w:rsidRPr="00310690">
        <w:rPr>
          <w:rFonts w:cs="Arial"/>
        </w:rPr>
        <w:t>s</w:t>
      </w:r>
      <w:r w:rsidRPr="00310690">
        <w:rPr>
          <w:rFonts w:eastAsiaTheme="minorHAnsi" w:cs="Arial"/>
          <w:szCs w:val="22"/>
          <w:lang w:eastAsia="en-US"/>
        </w:rPr>
        <w:t>trat</w:t>
      </w:r>
      <w:r w:rsidR="00AB13E8">
        <w:rPr>
          <w:rFonts w:eastAsiaTheme="minorHAnsi" w:cs="Arial"/>
          <w:szCs w:val="22"/>
          <w:lang w:eastAsia="en-US"/>
        </w:rPr>
        <w:t>eški plan razvoja nije donesen (</w:t>
      </w:r>
      <w:r w:rsidR="00F966E8" w:rsidRPr="00F966E8">
        <w:rPr>
          <w:rFonts w:eastAsiaTheme="minorHAnsi" w:cs="Arial"/>
          <w:szCs w:val="22"/>
          <w:lang w:eastAsia="en-US"/>
        </w:rPr>
        <w:t>kojim bi bila utvrđena jasna misija, vizija i poslovni ciljevi</w:t>
      </w:r>
      <w:r w:rsidR="00AB13E8">
        <w:rPr>
          <w:rFonts w:eastAsiaTheme="minorHAnsi" w:cs="Arial"/>
          <w:szCs w:val="22"/>
          <w:lang w:eastAsia="en-US"/>
        </w:rPr>
        <w:t>),</w:t>
      </w:r>
      <w:r w:rsidR="00F966E8">
        <w:rPr>
          <w:rFonts w:eastAsiaTheme="minorHAnsi" w:cs="Arial"/>
          <w:szCs w:val="22"/>
          <w:lang w:eastAsia="en-US"/>
        </w:rPr>
        <w:t xml:space="preserve"> </w:t>
      </w:r>
      <w:r w:rsidRPr="00310690">
        <w:rPr>
          <w:rFonts w:eastAsiaTheme="minorHAnsi" w:cs="Arial"/>
          <w:szCs w:val="22"/>
          <w:lang w:eastAsia="en-US"/>
        </w:rPr>
        <w:t>nije donesen poslovni plan za razdoblje od četiri godine, plan gradnje komunalnih vodnih građevina nije dostavljen Hrvatskim vodama radi pribavljanja mišljenja o usklađenosti s višegodišnjim programom gradnje</w:t>
      </w:r>
    </w:p>
    <w:p w:rsidR="00BE527B" w:rsidRPr="00AB13E8" w:rsidRDefault="00B90ACF"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cs="Arial"/>
        </w:rPr>
      </w:pPr>
      <w:r w:rsidRPr="00310690">
        <w:rPr>
          <w:rFonts w:eastAsiaTheme="minorHAnsi" w:cs="Arial"/>
          <w:szCs w:val="22"/>
          <w:lang w:eastAsia="en-US"/>
        </w:rPr>
        <w:tab/>
        <w:t>–</w:t>
      </w:r>
      <w:r w:rsidRPr="00310690">
        <w:rPr>
          <w:rFonts w:eastAsiaTheme="minorHAnsi" w:cs="Arial"/>
          <w:szCs w:val="22"/>
          <w:lang w:eastAsia="en-US"/>
        </w:rPr>
        <w:tab/>
      </w:r>
      <w:r w:rsidRPr="00AB13E8">
        <w:rPr>
          <w:rFonts w:cs="Arial"/>
        </w:rPr>
        <w:t>popis imovine i obveza nije u cijelosti obavljen u skladu s propisima</w:t>
      </w:r>
    </w:p>
    <w:p w:rsidR="007217A4" w:rsidRPr="00AB13E8" w:rsidRDefault="00B90ACF"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eastAsiaTheme="minorHAnsi" w:cs="Arial"/>
          <w:szCs w:val="22"/>
          <w:lang w:eastAsia="en-US"/>
        </w:rPr>
      </w:pPr>
      <w:r w:rsidRPr="00AB13E8">
        <w:rPr>
          <w:rFonts w:eastAsiaTheme="minorHAnsi" w:cs="Arial"/>
          <w:szCs w:val="22"/>
          <w:lang w:eastAsia="en-US"/>
        </w:rPr>
        <w:tab/>
        <w:t>–</w:t>
      </w:r>
      <w:r w:rsidRPr="00AB13E8">
        <w:rPr>
          <w:rFonts w:eastAsiaTheme="minorHAnsi" w:cs="Arial"/>
          <w:szCs w:val="22"/>
          <w:lang w:eastAsia="en-US"/>
        </w:rPr>
        <w:tab/>
        <w:t>a</w:t>
      </w:r>
      <w:r w:rsidR="00BE527B" w:rsidRPr="00AB13E8">
        <w:rPr>
          <w:rFonts w:eastAsiaTheme="minorHAnsi" w:cs="Arial"/>
          <w:szCs w:val="22"/>
          <w:lang w:eastAsia="en-US"/>
        </w:rPr>
        <w:t>nalitička evidencija obveza za primljene predujmove nije ustrojena</w:t>
      </w:r>
    </w:p>
    <w:p w:rsidR="00B90ACF" w:rsidRPr="00AB13E8" w:rsidRDefault="007217A4" w:rsidP="005415F8">
      <w:pPr>
        <w:widowControl/>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eastAsiaTheme="minorHAnsi" w:cs="Arial"/>
          <w:szCs w:val="22"/>
          <w:lang w:eastAsia="en-US"/>
        </w:rPr>
      </w:pPr>
      <w:r w:rsidRPr="00AB13E8">
        <w:rPr>
          <w:rFonts w:eastAsiaTheme="minorHAnsi" w:cs="Arial"/>
          <w:szCs w:val="22"/>
          <w:lang w:eastAsia="en-US"/>
        </w:rPr>
        <w:tab/>
      </w:r>
      <w:r w:rsidRPr="00AB13E8">
        <w:rPr>
          <w:rFonts w:eastAsiaTheme="minorHAnsi" w:cs="Arial"/>
          <w:szCs w:val="22"/>
          <w:lang w:eastAsia="en-US"/>
        </w:rPr>
        <w:tab/>
        <w:t>–</w:t>
      </w:r>
      <w:r w:rsidRPr="00AB13E8">
        <w:rPr>
          <w:rFonts w:eastAsiaTheme="minorHAnsi" w:cs="Arial"/>
          <w:szCs w:val="22"/>
          <w:lang w:eastAsia="en-US"/>
        </w:rPr>
        <w:tab/>
      </w:r>
      <w:r w:rsidR="00BE527B" w:rsidRPr="00AB13E8">
        <w:rPr>
          <w:rFonts w:eastAsiaTheme="minorHAnsi" w:cs="Arial"/>
          <w:szCs w:val="22"/>
          <w:lang w:eastAsia="en-US"/>
        </w:rPr>
        <w:t xml:space="preserve">potraživanja od kupaca </w:t>
      </w:r>
      <w:r w:rsidRPr="00AB13E8">
        <w:rPr>
          <w:rFonts w:eastAsiaTheme="minorHAnsi" w:cs="Arial"/>
          <w:szCs w:val="22"/>
          <w:lang w:eastAsia="en-US"/>
        </w:rPr>
        <w:t>u analitičkoj evidenciji</w:t>
      </w:r>
      <w:r w:rsidR="00BE527B" w:rsidRPr="00AB13E8">
        <w:rPr>
          <w:rFonts w:eastAsiaTheme="minorHAnsi" w:cs="Arial"/>
          <w:szCs w:val="22"/>
          <w:lang w:eastAsia="en-US"/>
        </w:rPr>
        <w:t xml:space="preserve"> nisu jednaka potraživanjima u glavnoj knjizi </w:t>
      </w:r>
      <w:r w:rsidRPr="00AB13E8">
        <w:rPr>
          <w:rFonts w:eastAsiaTheme="minorHAnsi" w:cs="Arial"/>
          <w:szCs w:val="22"/>
          <w:lang w:eastAsia="en-US"/>
        </w:rPr>
        <w:t>i financijskim izvještajima</w:t>
      </w:r>
    </w:p>
    <w:p w:rsidR="00B90ACF" w:rsidRPr="00AB13E8" w:rsidRDefault="00B90ACF" w:rsidP="005415F8">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0" w:hanging="990"/>
        <w:textAlignment w:val="baseline"/>
        <w:rPr>
          <w:rFonts w:cs="Arial"/>
          <w:highlight w:val="lightGray"/>
        </w:rPr>
      </w:pPr>
      <w:r w:rsidRPr="00AB13E8">
        <w:rPr>
          <w:rFonts w:eastAsiaTheme="minorHAnsi" w:cs="Arial"/>
          <w:szCs w:val="22"/>
          <w:lang w:eastAsia="en-US"/>
        </w:rPr>
        <w:tab/>
        <w:t>–</w:t>
      </w:r>
      <w:r w:rsidRPr="00AB13E8">
        <w:rPr>
          <w:rFonts w:eastAsiaTheme="minorHAnsi" w:cs="Arial"/>
          <w:szCs w:val="22"/>
          <w:lang w:eastAsia="en-US"/>
        </w:rPr>
        <w:tab/>
      </w:r>
      <w:r w:rsidRPr="00AB13E8">
        <w:rPr>
          <w:rFonts w:cs="Arial"/>
        </w:rPr>
        <w:t>pojedine poslovne promjene nisu evidentirane na ispravnim računima računskog plana</w:t>
      </w:r>
    </w:p>
    <w:p w:rsidR="00BE527B" w:rsidRPr="00AB13E8" w:rsidRDefault="00B90ACF" w:rsidP="005415F8">
      <w:pPr>
        <w:widowControl/>
        <w:tabs>
          <w:tab w:val="left" w:pos="567"/>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426"/>
        <w:textAlignment w:val="baseline"/>
        <w:rPr>
          <w:rFonts w:eastAsiaTheme="minorHAnsi" w:cs="Arial"/>
          <w:szCs w:val="22"/>
          <w:lang w:eastAsia="en-US"/>
        </w:rPr>
      </w:pPr>
      <w:r w:rsidRPr="00AB13E8">
        <w:rPr>
          <w:rFonts w:eastAsiaTheme="minorHAnsi" w:cs="Arial"/>
          <w:szCs w:val="22"/>
          <w:lang w:eastAsia="en-US"/>
        </w:rPr>
        <w:t>–</w:t>
      </w:r>
      <w:r w:rsidRPr="00AB13E8">
        <w:rPr>
          <w:rFonts w:eastAsiaTheme="minorHAnsi" w:cs="Arial"/>
          <w:szCs w:val="22"/>
          <w:lang w:eastAsia="en-US"/>
        </w:rPr>
        <w:tab/>
      </w:r>
      <w:r w:rsidR="0014274D" w:rsidRPr="00AB13E8">
        <w:rPr>
          <w:rFonts w:eastAsiaTheme="minorHAnsi" w:cs="Arial"/>
          <w:szCs w:val="22"/>
          <w:lang w:eastAsia="en-US"/>
        </w:rPr>
        <w:tab/>
      </w:r>
      <w:r w:rsidR="00BE527B" w:rsidRPr="00AB13E8">
        <w:rPr>
          <w:rFonts w:eastAsiaTheme="minorHAnsi" w:cs="Arial"/>
          <w:szCs w:val="22"/>
          <w:lang w:eastAsia="en-US"/>
        </w:rPr>
        <w:t>primijenjene su niže stope amortizacije za pojedinu imovinu od stopa utvrđe</w:t>
      </w:r>
      <w:r w:rsidR="00535CA2" w:rsidRPr="00AB13E8">
        <w:rPr>
          <w:rFonts w:eastAsiaTheme="minorHAnsi" w:cs="Arial"/>
          <w:szCs w:val="22"/>
          <w:lang w:eastAsia="en-US"/>
        </w:rPr>
        <w:t>nih</w:t>
      </w:r>
      <w:r w:rsidR="00BE527B" w:rsidRPr="00AB13E8">
        <w:rPr>
          <w:rFonts w:eastAsiaTheme="minorHAnsi" w:cs="Arial"/>
          <w:szCs w:val="22"/>
          <w:lang w:eastAsia="en-US"/>
        </w:rPr>
        <w:t xml:space="preserve"> Računovodstvenim politikama </w:t>
      </w:r>
    </w:p>
    <w:p w:rsidR="00535CA2" w:rsidRPr="00AB13E8" w:rsidRDefault="00BE527B"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eastAsiaTheme="minorHAnsi" w:cs="Arial"/>
          <w:szCs w:val="22"/>
          <w:lang w:eastAsia="en-US"/>
        </w:rPr>
      </w:pPr>
      <w:r w:rsidRPr="00AB13E8">
        <w:rPr>
          <w:rFonts w:eastAsiaTheme="minorHAnsi" w:cs="Arial"/>
          <w:szCs w:val="22"/>
          <w:lang w:eastAsia="en-US"/>
        </w:rPr>
        <w:tab/>
      </w:r>
      <w:r w:rsidR="00B90ACF" w:rsidRPr="00AB13E8">
        <w:rPr>
          <w:rFonts w:eastAsiaTheme="minorHAnsi" w:cs="Arial"/>
          <w:szCs w:val="22"/>
          <w:lang w:eastAsia="en-US"/>
        </w:rPr>
        <w:t>–</w:t>
      </w:r>
      <w:r w:rsidR="00B90ACF" w:rsidRPr="00AB13E8">
        <w:rPr>
          <w:rFonts w:eastAsiaTheme="minorHAnsi" w:cs="Arial"/>
          <w:szCs w:val="22"/>
          <w:lang w:eastAsia="en-US"/>
        </w:rPr>
        <w:tab/>
        <w:t>z</w:t>
      </w:r>
      <w:r w:rsidRPr="00AB13E8">
        <w:rPr>
          <w:rFonts w:eastAsiaTheme="minorHAnsi" w:cs="Arial"/>
          <w:szCs w:val="22"/>
          <w:lang w:eastAsia="en-US"/>
        </w:rPr>
        <w:t>a usluge pražnjenja i odvoza komunalnih otpadnih voda iz individualnih sustava odvodnje te njihovog ispuštanja u sustav javne odvodnje s dva trgovačka društva i jednom fizičkom osobom nisu zaključ</w:t>
      </w:r>
      <w:r w:rsidR="00535CA2" w:rsidRPr="00AB13E8">
        <w:rPr>
          <w:rFonts w:eastAsiaTheme="minorHAnsi" w:cs="Arial"/>
          <w:szCs w:val="22"/>
          <w:lang w:eastAsia="en-US"/>
        </w:rPr>
        <w:t>eni ugovori niti dane koncesije</w:t>
      </w:r>
    </w:p>
    <w:p w:rsidR="00BE527B" w:rsidRPr="00AB13E8" w:rsidRDefault="00535CA2" w:rsidP="005415F8">
      <w:pPr>
        <w:widowControl/>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eastAsiaTheme="minorHAnsi" w:cs="Arial"/>
          <w:szCs w:val="22"/>
          <w:lang w:eastAsia="en-US"/>
        </w:rPr>
      </w:pPr>
      <w:r w:rsidRPr="00AB13E8">
        <w:rPr>
          <w:rFonts w:eastAsiaTheme="minorHAnsi" w:cs="Arial"/>
          <w:szCs w:val="22"/>
          <w:lang w:eastAsia="en-US"/>
        </w:rPr>
        <w:tab/>
      </w:r>
      <w:r w:rsidRPr="00AB13E8">
        <w:rPr>
          <w:rFonts w:eastAsiaTheme="minorHAnsi" w:cs="Arial"/>
          <w:szCs w:val="22"/>
          <w:lang w:eastAsia="en-US"/>
        </w:rPr>
        <w:tab/>
        <w:t>–</w:t>
      </w:r>
      <w:r w:rsidRPr="00AB13E8">
        <w:rPr>
          <w:rFonts w:eastAsiaTheme="minorHAnsi" w:cs="Arial"/>
          <w:szCs w:val="22"/>
          <w:lang w:eastAsia="en-US"/>
        </w:rPr>
        <w:tab/>
      </w:r>
      <w:r w:rsidR="00BE527B" w:rsidRPr="00AB13E8">
        <w:rPr>
          <w:rFonts w:eastAsiaTheme="minorHAnsi" w:cs="Arial"/>
          <w:szCs w:val="22"/>
          <w:lang w:eastAsia="en-US"/>
        </w:rPr>
        <w:t>Odlukom o cijeni vodnih usluga nisu utvrđene cijene vodnih usluga</w:t>
      </w:r>
    </w:p>
    <w:p w:rsidR="00BE527B" w:rsidRPr="00AB13E8" w:rsidRDefault="00BE527B"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eastAsiaTheme="minorHAnsi" w:cs="Arial"/>
          <w:szCs w:val="22"/>
          <w:lang w:eastAsia="en-US"/>
        </w:rPr>
      </w:pPr>
      <w:r w:rsidRPr="00AB13E8">
        <w:rPr>
          <w:rFonts w:eastAsiaTheme="minorHAnsi" w:cs="Arial"/>
          <w:szCs w:val="22"/>
          <w:lang w:eastAsia="en-US"/>
        </w:rPr>
        <w:tab/>
        <w:t>–</w:t>
      </w:r>
      <w:r w:rsidRPr="00AB13E8">
        <w:rPr>
          <w:rFonts w:eastAsiaTheme="minorHAnsi" w:cs="Arial"/>
          <w:szCs w:val="22"/>
          <w:lang w:eastAsia="en-US"/>
        </w:rPr>
        <w:tab/>
      </w:r>
      <w:r w:rsidR="00B90ACF" w:rsidRPr="00AB13E8">
        <w:rPr>
          <w:rFonts w:eastAsiaTheme="minorHAnsi" w:cs="Arial"/>
          <w:szCs w:val="22"/>
          <w:lang w:eastAsia="en-US"/>
        </w:rPr>
        <w:t>z</w:t>
      </w:r>
      <w:r w:rsidRPr="00AB13E8">
        <w:rPr>
          <w:rFonts w:eastAsiaTheme="minorHAnsi" w:cs="Arial"/>
          <w:szCs w:val="22"/>
          <w:lang w:eastAsia="en-US"/>
        </w:rPr>
        <w:t>a potraživanja od jednog kupca za pružene vodne usluge prema ispostavljenim računima od 2017. do konca 2021. nisu upućivane opomene niti su poduzimane mjere prisilne naplate</w:t>
      </w:r>
    </w:p>
    <w:p w:rsidR="00BE527B" w:rsidRPr="00AB13E8" w:rsidRDefault="00B90ACF"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eastAsiaTheme="minorHAnsi" w:cs="Arial"/>
          <w:szCs w:val="22"/>
          <w:lang w:eastAsia="en-US"/>
        </w:rPr>
      </w:pPr>
      <w:r w:rsidRPr="00AB13E8">
        <w:rPr>
          <w:rFonts w:eastAsiaTheme="minorHAnsi" w:cs="Arial"/>
          <w:szCs w:val="22"/>
          <w:lang w:eastAsia="en-US"/>
        </w:rPr>
        <w:tab/>
        <w:t>–</w:t>
      </w:r>
      <w:r w:rsidRPr="00AB13E8">
        <w:rPr>
          <w:rFonts w:eastAsiaTheme="minorHAnsi" w:cs="Arial"/>
          <w:szCs w:val="22"/>
          <w:lang w:eastAsia="en-US"/>
        </w:rPr>
        <w:tab/>
        <w:t>k</w:t>
      </w:r>
      <w:r w:rsidR="00BE527B" w:rsidRPr="00AB13E8">
        <w:rPr>
          <w:rFonts w:eastAsiaTheme="minorHAnsi" w:cs="Arial"/>
          <w:szCs w:val="22"/>
          <w:lang w:eastAsia="en-US"/>
        </w:rPr>
        <w:t>oncesijska naknada za posebnu upotrebu pomorskog dobra, na temelju zaključenih ugovora, za razdoblje od 2018. do konca 2021. nije uplaćivana te u poslovnim knjigama nisu evidentirane odnosno u financijskim izvještajima iskazane obveze</w:t>
      </w:r>
    </w:p>
    <w:p w:rsidR="00BE527B" w:rsidRPr="00AB13E8" w:rsidRDefault="00BE527B"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eastAsiaTheme="minorHAnsi" w:cs="Arial"/>
          <w:szCs w:val="22"/>
          <w:lang w:eastAsia="en-US"/>
        </w:rPr>
      </w:pPr>
    </w:p>
    <w:p w:rsidR="00BE527B" w:rsidRPr="00310690" w:rsidRDefault="00BE527B"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eastAsiaTheme="minorHAnsi" w:cs="Arial"/>
          <w:szCs w:val="22"/>
          <w:lang w:eastAsia="en-US"/>
        </w:rPr>
      </w:pPr>
      <w:r w:rsidRPr="00310690">
        <w:rPr>
          <w:rFonts w:eastAsiaTheme="minorHAnsi" w:cs="Arial"/>
          <w:szCs w:val="22"/>
          <w:lang w:eastAsia="en-US"/>
        </w:rPr>
        <w:tab/>
        <w:t>–</w:t>
      </w:r>
      <w:r w:rsidRPr="00310690">
        <w:rPr>
          <w:rFonts w:eastAsiaTheme="minorHAnsi" w:cs="Arial"/>
          <w:szCs w:val="22"/>
          <w:lang w:eastAsia="en-US"/>
        </w:rPr>
        <w:tab/>
      </w:r>
      <w:r w:rsidR="00B90ACF" w:rsidRPr="00310690">
        <w:rPr>
          <w:rFonts w:eastAsiaTheme="minorHAnsi" w:cs="Arial"/>
          <w:szCs w:val="22"/>
          <w:lang w:eastAsia="en-US"/>
        </w:rPr>
        <w:t>p</w:t>
      </w:r>
      <w:r w:rsidRPr="00310690">
        <w:rPr>
          <w:rFonts w:eastAsiaTheme="minorHAnsi" w:cs="Arial"/>
          <w:szCs w:val="22"/>
          <w:lang w:eastAsia="en-US"/>
        </w:rPr>
        <w:t>ri obračunu plaća, osnovna plaća uvećavana je za rad nedjeljom za 35,0 % umjesto za 50,0 %, a za rad noću za 40,0 % umjesto za 30,0 %, kako je utvrđeno Pravilnikom o radu</w:t>
      </w:r>
    </w:p>
    <w:p w:rsidR="00BE527B" w:rsidRPr="00310690" w:rsidRDefault="00B90ACF"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eastAsiaTheme="minorHAnsi" w:cs="Arial"/>
          <w:szCs w:val="22"/>
          <w:lang w:eastAsia="en-US"/>
        </w:rPr>
      </w:pPr>
      <w:r w:rsidRPr="00310690">
        <w:rPr>
          <w:rFonts w:eastAsiaTheme="minorHAnsi" w:cs="Arial"/>
          <w:szCs w:val="22"/>
          <w:lang w:eastAsia="en-US"/>
        </w:rPr>
        <w:tab/>
        <w:t>–</w:t>
      </w:r>
      <w:r w:rsidRPr="00310690">
        <w:rPr>
          <w:rFonts w:eastAsiaTheme="minorHAnsi" w:cs="Arial"/>
          <w:szCs w:val="22"/>
          <w:lang w:eastAsia="en-US"/>
        </w:rPr>
        <w:tab/>
        <w:t>z</w:t>
      </w:r>
      <w:r w:rsidR="00BE527B" w:rsidRPr="00310690">
        <w:rPr>
          <w:rFonts w:eastAsiaTheme="minorHAnsi" w:cs="Arial"/>
          <w:szCs w:val="22"/>
          <w:lang w:eastAsia="en-US"/>
        </w:rPr>
        <w:t xml:space="preserve">a nabavu vozila na temelju zaključenog Ugovora o financijskom </w:t>
      </w:r>
      <w:proofErr w:type="spellStart"/>
      <w:r w:rsidR="00BE527B" w:rsidRPr="00310690">
        <w:rPr>
          <w:rFonts w:eastAsiaTheme="minorHAnsi" w:cs="Arial"/>
          <w:i/>
          <w:szCs w:val="22"/>
          <w:lang w:eastAsia="en-US"/>
        </w:rPr>
        <w:t>leasingu</w:t>
      </w:r>
      <w:proofErr w:type="spellEnd"/>
      <w:r w:rsidR="00BE527B" w:rsidRPr="00310690">
        <w:rPr>
          <w:rFonts w:eastAsiaTheme="minorHAnsi" w:cs="Arial"/>
          <w:szCs w:val="22"/>
          <w:lang w:eastAsia="en-US"/>
        </w:rPr>
        <w:t xml:space="preserve"> nije pribavljena suglasnost većinskog vlasnika</w:t>
      </w:r>
    </w:p>
    <w:p w:rsidR="008B2444" w:rsidRPr="00310690" w:rsidRDefault="00B90ACF"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cs="Arial"/>
        </w:rPr>
      </w:pPr>
      <w:r w:rsidRPr="00310690">
        <w:rPr>
          <w:rFonts w:eastAsiaTheme="minorHAnsi" w:cs="Arial"/>
          <w:szCs w:val="22"/>
          <w:lang w:eastAsia="en-US"/>
        </w:rPr>
        <w:tab/>
        <w:t>–</w:t>
      </w:r>
      <w:r w:rsidRPr="00310690">
        <w:rPr>
          <w:rFonts w:eastAsiaTheme="minorHAnsi" w:cs="Arial"/>
          <w:szCs w:val="22"/>
          <w:lang w:eastAsia="en-US"/>
        </w:rPr>
        <w:tab/>
        <w:t>o</w:t>
      </w:r>
      <w:r w:rsidR="00BE527B" w:rsidRPr="00310690">
        <w:rPr>
          <w:rFonts w:cs="Arial"/>
        </w:rPr>
        <w:t>stvarena nabava znatno odstupa od planirane</w:t>
      </w:r>
    </w:p>
    <w:p w:rsidR="00BE527B" w:rsidRPr="00310690" w:rsidRDefault="008B2444"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426"/>
        <w:textAlignment w:val="baseline"/>
        <w:rPr>
          <w:rFonts w:cs="Arial"/>
        </w:rPr>
      </w:pPr>
      <w:r w:rsidRPr="00310690">
        <w:rPr>
          <w:rFonts w:cs="Arial"/>
        </w:rPr>
        <w:t>–</w:t>
      </w:r>
      <w:r w:rsidRPr="00310690">
        <w:rPr>
          <w:rFonts w:cs="Arial"/>
        </w:rPr>
        <w:tab/>
      </w:r>
      <w:r w:rsidR="00BE527B" w:rsidRPr="00310690">
        <w:rPr>
          <w:rFonts w:cs="Arial"/>
        </w:rPr>
        <w:t>bez propisanih postupaka javne nabave nabavljene su usluge u iznosu od 843.409,00 kn, a radovi u vrijednosti od 121.520,00 kn nabavljeni su izravnim ugovaranjem</w:t>
      </w:r>
      <w:r w:rsidRPr="00310690">
        <w:rPr>
          <w:rFonts w:cs="Arial"/>
        </w:rPr>
        <w:t xml:space="preserve"> te</w:t>
      </w:r>
      <w:r w:rsidR="00BE527B" w:rsidRPr="00310690">
        <w:rPr>
          <w:rFonts w:cs="Arial"/>
        </w:rPr>
        <w:t xml:space="preserve"> podaci o navedenoj nabavi nisu uneseni u Registar ugovora o javnoj nabavi i okvirnih sporazuma te u Statističko izvješće o javnoj nabavi</w:t>
      </w:r>
    </w:p>
    <w:p w:rsidR="00BE527B" w:rsidRPr="00310690" w:rsidRDefault="00BE527B" w:rsidP="005415F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993" w:hanging="993"/>
        <w:textAlignment w:val="baseline"/>
        <w:rPr>
          <w:rFonts w:cs="Arial"/>
        </w:rPr>
      </w:pPr>
      <w:r w:rsidRPr="00310690">
        <w:rPr>
          <w:rFonts w:cs="Arial"/>
        </w:rPr>
        <w:tab/>
        <w:t>–</w:t>
      </w:r>
      <w:r w:rsidRPr="00310690">
        <w:rPr>
          <w:rFonts w:cs="Arial"/>
        </w:rPr>
        <w:tab/>
        <w:t xml:space="preserve">odluka o odabiru najpovoljnijeg ponuditelja u otvorenom postupku javne nabave Projektiranje, izgradnja i probni rad uređaja za pročišćavanje otpadnih voda </w:t>
      </w:r>
      <w:proofErr w:type="spellStart"/>
      <w:r w:rsidRPr="00310690">
        <w:rPr>
          <w:rFonts w:cs="Arial"/>
        </w:rPr>
        <w:t>Lapad</w:t>
      </w:r>
      <w:proofErr w:type="spellEnd"/>
      <w:r w:rsidRPr="00310690">
        <w:rPr>
          <w:rFonts w:cs="Arial"/>
        </w:rPr>
        <w:t xml:space="preserve">, drugi stupanj pročišćavanja te projektiranje, izgradnja i probni rad postrojenja za sušenje mulja na lokaciji </w:t>
      </w:r>
      <w:proofErr w:type="spellStart"/>
      <w:r w:rsidRPr="00310690">
        <w:rPr>
          <w:rFonts w:cs="Arial"/>
        </w:rPr>
        <w:t>Osojnik</w:t>
      </w:r>
      <w:proofErr w:type="spellEnd"/>
      <w:r w:rsidRPr="00310690">
        <w:rPr>
          <w:rFonts w:cs="Arial"/>
        </w:rPr>
        <w:t xml:space="preserve"> te izgradnja novog kopnenog i podmorskog ispusta uređaja za pročišćavanje otpadnih voda nije donesena u roku utvrđenom dokumentacijom za nadmetanje, odnosno revizijom je utvrđeno kašnjenje </w:t>
      </w:r>
      <w:r w:rsidR="00B90ACF" w:rsidRPr="00310690">
        <w:rPr>
          <w:rFonts w:cs="Arial"/>
        </w:rPr>
        <w:t xml:space="preserve">od </w:t>
      </w:r>
      <w:r w:rsidRPr="00310690">
        <w:rPr>
          <w:rFonts w:cs="Arial"/>
        </w:rPr>
        <w:t>125 dana u odnosu na rok za donošenje odluke o odabiru</w:t>
      </w:r>
      <w:r w:rsidR="00B90ACF" w:rsidRPr="00310690">
        <w:rPr>
          <w:rFonts w:cs="Arial"/>
        </w:rPr>
        <w:t>.</w:t>
      </w:r>
    </w:p>
    <w:p w:rsidR="00BE527B" w:rsidRPr="00310690" w:rsidRDefault="00BE527B" w:rsidP="00BE527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right="-23"/>
        <w:textAlignment w:val="baseline"/>
        <w:rPr>
          <w:rFonts w:cs="Arial"/>
        </w:rPr>
      </w:pPr>
    </w:p>
    <w:p w:rsidR="00BE527B" w:rsidRPr="00310690" w:rsidRDefault="00BE527B" w:rsidP="00BE527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contextualSpacing/>
        <w:textAlignment w:val="baseline"/>
        <w:rPr>
          <w:rFonts w:cs="Arial"/>
        </w:rPr>
      </w:pPr>
      <w:r w:rsidRPr="00310690">
        <w:rPr>
          <w:rFonts w:cs="Arial"/>
        </w:rPr>
        <w:tab/>
        <w:t xml:space="preserve">Za utvrđene nepravilnosti i propuste Ured je dao </w:t>
      </w:r>
      <w:r w:rsidRPr="00310690">
        <w:rPr>
          <w:rFonts w:cs="Arial"/>
          <w:b/>
        </w:rPr>
        <w:t>69 naloga i preporuk</w:t>
      </w:r>
      <w:r w:rsidR="00B90ACF" w:rsidRPr="00310690">
        <w:rPr>
          <w:rFonts w:cs="Arial"/>
          <w:b/>
        </w:rPr>
        <w:t>a</w:t>
      </w:r>
      <w:r w:rsidRPr="00310690">
        <w:rPr>
          <w:rFonts w:cs="Arial"/>
        </w:rPr>
        <w:t xml:space="preserve">, čija bi provedba pridonijela postizanju istinitosti i vjerodostojnosti poslovnih knjiga i financijskih izvještaja, većoj usklađenosti poslovanja sa zakonima i drugim propisima, većoj razini javne odgovornosti za gospodarsko i racionalno upravljanje sredstvima, postizanju ušteda pri nabavi roba, radova i usluga te većoj transparentnosti u postupcima nabave. </w:t>
      </w:r>
    </w:p>
    <w:p w:rsidR="00BE527B" w:rsidRPr="00310690" w:rsidRDefault="00BE527B" w:rsidP="00BE527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contextualSpacing/>
        <w:textAlignment w:val="baseline"/>
        <w:rPr>
          <w:rFonts w:cs="Arial"/>
        </w:rPr>
      </w:pPr>
      <w:r w:rsidRPr="00310690">
        <w:rPr>
          <w:rFonts w:cs="Arial"/>
        </w:rPr>
        <w:tab/>
        <w:t>Osim toga, utvrđeno je da je</w:t>
      </w:r>
      <w:r w:rsidR="00446A34">
        <w:rPr>
          <w:rFonts w:cs="Arial"/>
        </w:rPr>
        <w:t>,</w:t>
      </w:r>
      <w:r w:rsidRPr="00310690">
        <w:rPr>
          <w:rFonts w:cs="Arial"/>
        </w:rPr>
        <w:t xml:space="preserve"> od </w:t>
      </w:r>
      <w:r w:rsidR="00693E08">
        <w:rPr>
          <w:rFonts w:cs="Arial"/>
          <w:b/>
        </w:rPr>
        <w:t>26 naloga i preporuka</w:t>
      </w:r>
      <w:r w:rsidRPr="00310690">
        <w:rPr>
          <w:rFonts w:cs="Arial"/>
          <w:b/>
        </w:rPr>
        <w:t xml:space="preserve"> danih u prošlim revizijama</w:t>
      </w:r>
      <w:r w:rsidRPr="00310690">
        <w:rPr>
          <w:rFonts w:cs="Arial"/>
        </w:rPr>
        <w:t xml:space="preserve">, </w:t>
      </w:r>
      <w:r w:rsidRPr="00310690">
        <w:rPr>
          <w:rFonts w:cs="Arial"/>
          <w:b/>
        </w:rPr>
        <w:t>provedeno 15 naloga i preporuka</w:t>
      </w:r>
      <w:r w:rsidRPr="00310690">
        <w:rPr>
          <w:rFonts w:cs="Arial"/>
        </w:rPr>
        <w:t xml:space="preserve">, </w:t>
      </w:r>
      <w:r w:rsidRPr="00310690">
        <w:rPr>
          <w:rFonts w:cs="Arial"/>
          <w:b/>
        </w:rPr>
        <w:t>dva nisu provedena</w:t>
      </w:r>
      <w:r w:rsidRPr="00310690">
        <w:rPr>
          <w:rFonts w:cs="Arial"/>
        </w:rPr>
        <w:t xml:space="preserve">, </w:t>
      </w:r>
      <w:r w:rsidR="00B90ACF" w:rsidRPr="00310690">
        <w:rPr>
          <w:rFonts w:cs="Arial"/>
          <w:b/>
        </w:rPr>
        <w:t xml:space="preserve">osam je </w:t>
      </w:r>
      <w:r w:rsidRPr="00310690">
        <w:rPr>
          <w:rFonts w:cs="Arial"/>
          <w:b/>
        </w:rPr>
        <w:t>djelomično provedeno ili je u postupku provedbe</w:t>
      </w:r>
      <w:r w:rsidRPr="00310690">
        <w:rPr>
          <w:rFonts w:cs="Arial"/>
        </w:rPr>
        <w:t xml:space="preserve">, a zbog statusnih promjena, promjena propisa ili promjena okolnosti u kojima društva posluju </w:t>
      </w:r>
      <w:r w:rsidRPr="00310690">
        <w:rPr>
          <w:rFonts w:cs="Arial"/>
          <w:b/>
        </w:rPr>
        <w:t>nije primjenjiv jedan nalog</w:t>
      </w:r>
      <w:r w:rsidRPr="00310690">
        <w:rPr>
          <w:rFonts w:cs="Arial"/>
        </w:rPr>
        <w:t>.</w:t>
      </w:r>
    </w:p>
    <w:p w:rsidR="00DD2A94" w:rsidRPr="00310690" w:rsidRDefault="00802A79" w:rsidP="00C428D2">
      <w:pPr>
        <w:tabs>
          <w:tab w:val="left" w:pos="567"/>
        </w:tabs>
        <w:rPr>
          <w:rFonts w:cs="Arial"/>
        </w:rPr>
      </w:pPr>
      <w:r w:rsidRPr="00310690">
        <w:rPr>
          <w:rFonts w:cs="Arial"/>
        </w:rPr>
        <w:tab/>
      </w:r>
    </w:p>
    <w:p w:rsidR="00EB1476" w:rsidRPr="00310690" w:rsidRDefault="00EB1476" w:rsidP="006F410A">
      <w:pPr>
        <w:pBdr>
          <w:bottom w:val="single" w:sz="4" w:space="1" w:color="auto"/>
        </w:pBdr>
        <w:rPr>
          <w:rFonts w:cs="Arial"/>
          <w:b/>
        </w:rPr>
      </w:pPr>
    </w:p>
    <w:p w:rsidR="002975CB" w:rsidRDefault="002975CB" w:rsidP="009270F2">
      <w:pPr>
        <w:rPr>
          <w:rFonts w:cs="Arial"/>
          <w:b/>
        </w:rPr>
      </w:pPr>
    </w:p>
    <w:p w:rsidR="00AB13E8" w:rsidRDefault="00AB13E8" w:rsidP="009270F2">
      <w:pPr>
        <w:rPr>
          <w:rFonts w:cs="Arial"/>
          <w:b/>
        </w:rPr>
      </w:pPr>
    </w:p>
    <w:p w:rsidR="00D36482" w:rsidRDefault="00AB13E8" w:rsidP="00AB13E8">
      <w:pPr>
        <w:shd w:val="clear" w:color="auto" w:fill="BFBFBF" w:themeFill="background1" w:themeFillShade="BF"/>
        <w:tabs>
          <w:tab w:val="left" w:pos="567"/>
        </w:tabs>
        <w:rPr>
          <w:rFonts w:cs="Arial"/>
          <w:b/>
        </w:rPr>
      </w:pPr>
      <w:r>
        <w:rPr>
          <w:rFonts w:cs="Arial"/>
          <w:b/>
        </w:rPr>
        <w:t>II.</w:t>
      </w:r>
      <w:r>
        <w:rPr>
          <w:rFonts w:cs="Arial"/>
          <w:b/>
        </w:rPr>
        <w:tab/>
      </w:r>
      <w:r w:rsidR="002975CB">
        <w:rPr>
          <w:rFonts w:cs="Arial"/>
          <w:b/>
        </w:rPr>
        <w:t>REVIZIJA USKLAĐENOSTI</w:t>
      </w:r>
    </w:p>
    <w:p w:rsidR="002975CB" w:rsidRDefault="002975CB" w:rsidP="009270F2">
      <w:pPr>
        <w:rPr>
          <w:rFonts w:cs="Arial"/>
          <w:b/>
        </w:rPr>
      </w:pPr>
    </w:p>
    <w:p w:rsidR="00F253AF" w:rsidRDefault="00F253AF" w:rsidP="00F253AF">
      <w:pPr>
        <w:tabs>
          <w:tab w:val="left" w:pos="284"/>
          <w:tab w:val="left" w:pos="567"/>
          <w:tab w:val="left" w:pos="851"/>
        </w:tabs>
      </w:pPr>
      <w:r>
        <w:tab/>
      </w:r>
      <w:r>
        <w:tab/>
        <w:t xml:space="preserve">Revizijom usklađenosti </w:t>
      </w:r>
      <w:r w:rsidRPr="003B4E3F">
        <w:t xml:space="preserve">provjerava </w:t>
      </w:r>
      <w:r>
        <w:t xml:space="preserve">se </w:t>
      </w:r>
      <w:r w:rsidRPr="003B4E3F">
        <w:t>jesu li aktivnosti, financijske transakcije i informacije u skladu s propisima i unutarnjim aktima subjekta revizije</w:t>
      </w:r>
      <w:r w:rsidR="00AD4504">
        <w:t xml:space="preserve"> i o </w:t>
      </w:r>
      <w:r w:rsidR="000336F3">
        <w:t>t</w:t>
      </w:r>
      <w:r w:rsidR="00AD4504">
        <w:t>o</w:t>
      </w:r>
      <w:r w:rsidR="000336F3">
        <w:t>me izražava mišljenje (</w:t>
      </w:r>
      <w:r w:rsidR="00AD4504">
        <w:t xml:space="preserve">koje može biti </w:t>
      </w:r>
      <w:r w:rsidR="000336F3" w:rsidRPr="000336F3">
        <w:rPr>
          <w:rFonts w:cs="Arial"/>
          <w:sz w:val="22"/>
          <w:szCs w:val="22"/>
        </w:rPr>
        <w:t>bezuvjetno</w:t>
      </w:r>
      <w:r w:rsidR="00AD4504">
        <w:rPr>
          <w:rFonts w:cs="Arial"/>
          <w:sz w:val="22"/>
          <w:szCs w:val="22"/>
        </w:rPr>
        <w:t>,</w:t>
      </w:r>
      <w:r w:rsidR="000336F3" w:rsidRPr="000336F3">
        <w:rPr>
          <w:rFonts w:cs="Arial"/>
          <w:sz w:val="22"/>
          <w:szCs w:val="22"/>
        </w:rPr>
        <w:t xml:space="preserve"> uvjetno</w:t>
      </w:r>
      <w:r w:rsidR="00AD4504">
        <w:rPr>
          <w:rFonts w:cs="Arial"/>
          <w:sz w:val="22"/>
          <w:szCs w:val="22"/>
        </w:rPr>
        <w:t>,</w:t>
      </w:r>
      <w:r w:rsidR="000336F3" w:rsidRPr="000336F3">
        <w:rPr>
          <w:rFonts w:cs="Arial"/>
          <w:sz w:val="22"/>
          <w:szCs w:val="22"/>
        </w:rPr>
        <w:t xml:space="preserve"> suzdržano</w:t>
      </w:r>
      <w:r w:rsidR="00AD4504">
        <w:rPr>
          <w:rFonts w:cs="Arial"/>
          <w:sz w:val="22"/>
          <w:szCs w:val="22"/>
        </w:rPr>
        <w:t>,</w:t>
      </w:r>
      <w:r w:rsidR="000336F3" w:rsidRPr="000336F3">
        <w:rPr>
          <w:rFonts w:cs="Arial"/>
          <w:sz w:val="22"/>
          <w:szCs w:val="22"/>
        </w:rPr>
        <w:t xml:space="preserve"> nepovoljno</w:t>
      </w:r>
      <w:r w:rsidR="000336F3">
        <w:rPr>
          <w:rFonts w:cs="Arial"/>
          <w:sz w:val="22"/>
          <w:szCs w:val="22"/>
        </w:rPr>
        <w:t>)</w:t>
      </w:r>
      <w:r w:rsidRPr="003B4E3F">
        <w:t>.</w:t>
      </w:r>
    </w:p>
    <w:p w:rsidR="006F410A" w:rsidRDefault="006F410A" w:rsidP="00B74CA4">
      <w:pPr>
        <w:ind w:firstLine="567"/>
        <w:rPr>
          <w:rFonts w:cs="Arial"/>
          <w:b/>
        </w:rPr>
      </w:pPr>
    </w:p>
    <w:p w:rsidR="002975CB" w:rsidRPr="003422B3" w:rsidRDefault="002975CB" w:rsidP="002975CB">
      <w:pPr>
        <w:tabs>
          <w:tab w:val="left" w:pos="567"/>
        </w:tabs>
        <w:ind w:right="-23"/>
        <w:rPr>
          <w:rFonts w:eastAsia="Calibri" w:cs="Arial"/>
          <w:b/>
        </w:rPr>
      </w:pPr>
      <w:r>
        <w:rPr>
          <w:rFonts w:eastAsia="Calibri" w:cs="Arial"/>
        </w:rPr>
        <w:tab/>
      </w:r>
      <w:r w:rsidR="00AB13E8">
        <w:rPr>
          <w:rFonts w:eastAsia="Calibri" w:cs="Arial"/>
        </w:rPr>
        <w:t>Revizijom</w:t>
      </w:r>
      <w:r w:rsidRPr="00AB13E8">
        <w:rPr>
          <w:rFonts w:eastAsia="Calibri" w:cs="Arial"/>
        </w:rPr>
        <w:t xml:space="preserve"> usklađenosti</w:t>
      </w:r>
      <w:r w:rsidRPr="008C5821">
        <w:rPr>
          <w:rFonts w:eastAsia="Calibri" w:cs="Arial"/>
          <w:b/>
        </w:rPr>
        <w:t xml:space="preserve"> </w:t>
      </w:r>
      <w:r w:rsidRPr="002975CB">
        <w:rPr>
          <w:rFonts w:eastAsia="Calibri" w:cs="Arial"/>
        </w:rPr>
        <w:t>proračunskog korisnika državnog proračuna</w:t>
      </w:r>
      <w:r w:rsidR="00AB13E8">
        <w:rPr>
          <w:rFonts w:eastAsia="Calibri" w:cs="Arial"/>
        </w:rPr>
        <w:t>,</w:t>
      </w:r>
      <w:r w:rsidRPr="002975CB">
        <w:rPr>
          <w:rFonts w:eastAsia="Calibri" w:cs="Arial"/>
        </w:rPr>
        <w:t xml:space="preserve"> </w:t>
      </w:r>
      <w:r w:rsidRPr="002975CB">
        <w:rPr>
          <w:rFonts w:eastAsia="Calibri" w:cs="Arial"/>
          <w:b/>
        </w:rPr>
        <w:t>Hrvatsk</w:t>
      </w:r>
      <w:r>
        <w:rPr>
          <w:rFonts w:eastAsia="Calibri" w:cs="Arial"/>
          <w:b/>
        </w:rPr>
        <w:t xml:space="preserve">e </w:t>
      </w:r>
      <w:r w:rsidRPr="002975CB">
        <w:rPr>
          <w:rFonts w:eastAsia="Calibri" w:cs="Arial"/>
          <w:b/>
        </w:rPr>
        <w:t>energetsk</w:t>
      </w:r>
      <w:r>
        <w:rPr>
          <w:rFonts w:eastAsia="Calibri" w:cs="Arial"/>
          <w:b/>
        </w:rPr>
        <w:t>e</w:t>
      </w:r>
      <w:r w:rsidRPr="002975CB">
        <w:rPr>
          <w:rFonts w:eastAsia="Calibri" w:cs="Arial"/>
          <w:b/>
        </w:rPr>
        <w:t xml:space="preserve"> regulatorn</w:t>
      </w:r>
      <w:r>
        <w:rPr>
          <w:rFonts w:eastAsia="Calibri" w:cs="Arial"/>
          <w:b/>
        </w:rPr>
        <w:t>e</w:t>
      </w:r>
      <w:r w:rsidRPr="002975CB">
        <w:rPr>
          <w:rFonts w:eastAsia="Calibri" w:cs="Arial"/>
          <w:b/>
        </w:rPr>
        <w:t xml:space="preserve"> agencij</w:t>
      </w:r>
      <w:r>
        <w:rPr>
          <w:rFonts w:eastAsia="Calibri" w:cs="Arial"/>
          <w:b/>
        </w:rPr>
        <w:t>e</w:t>
      </w:r>
      <w:r w:rsidR="00AB13E8" w:rsidRPr="00F5062B">
        <w:rPr>
          <w:rFonts w:eastAsia="Calibri" w:cs="Arial"/>
        </w:rPr>
        <w:t>,</w:t>
      </w:r>
      <w:r w:rsidRPr="002975CB">
        <w:rPr>
          <w:rFonts w:eastAsia="Calibri" w:cs="Arial"/>
        </w:rPr>
        <w:t xml:space="preserve"> </w:t>
      </w:r>
      <w:r w:rsidR="000A28CC">
        <w:rPr>
          <w:rFonts w:eastAsia="Calibri" w:cs="Arial"/>
        </w:rPr>
        <w:t>obuhvaćeno je</w:t>
      </w:r>
      <w:r w:rsidRPr="002975CB">
        <w:rPr>
          <w:rFonts w:eastAsia="Calibri" w:cs="Arial"/>
        </w:rPr>
        <w:t xml:space="preserve"> poslovanje</w:t>
      </w:r>
      <w:r>
        <w:rPr>
          <w:rFonts w:eastAsia="Calibri" w:cs="Arial"/>
          <w:b/>
        </w:rPr>
        <w:t xml:space="preserve"> za</w:t>
      </w:r>
      <w:r w:rsidRPr="00C53516">
        <w:rPr>
          <w:rFonts w:eastAsia="Calibri" w:cs="Arial"/>
        </w:rPr>
        <w:t xml:space="preserve"> </w:t>
      </w:r>
      <w:r w:rsidRPr="00C53516">
        <w:rPr>
          <w:rFonts w:eastAsia="Calibri" w:cs="Arial"/>
          <w:b/>
        </w:rPr>
        <w:t>2021. i 2022</w:t>
      </w:r>
      <w:r w:rsidRPr="008C5821">
        <w:rPr>
          <w:rFonts w:eastAsia="Calibri" w:cs="Arial"/>
          <w:b/>
        </w:rPr>
        <w:t xml:space="preserve">. </w:t>
      </w:r>
      <w:r w:rsidR="000336F3">
        <w:rPr>
          <w:rFonts w:eastAsia="Calibri" w:cs="Arial"/>
        </w:rPr>
        <w:t>i</w:t>
      </w:r>
      <w:r w:rsidRPr="002975CB">
        <w:rPr>
          <w:rFonts w:eastAsia="Calibri" w:cs="Arial"/>
        </w:rPr>
        <w:t xml:space="preserve"> izraženo </w:t>
      </w:r>
      <w:r>
        <w:rPr>
          <w:rFonts w:eastAsia="Calibri" w:cs="Arial"/>
          <w:b/>
        </w:rPr>
        <w:t xml:space="preserve"> nepovoljno mišljenje.</w:t>
      </w:r>
    </w:p>
    <w:p w:rsidR="002975CB" w:rsidRPr="00C53516" w:rsidRDefault="002975CB" w:rsidP="002975CB">
      <w:pPr>
        <w:ind w:firstLine="567"/>
        <w:rPr>
          <w:rFonts w:cs="Arial"/>
        </w:rPr>
      </w:pPr>
    </w:p>
    <w:p w:rsidR="002975CB" w:rsidRDefault="002975CB" w:rsidP="002975CB">
      <w:pPr>
        <w:tabs>
          <w:tab w:val="left" w:pos="600"/>
        </w:tabs>
      </w:pPr>
      <w:r w:rsidRPr="00A57618">
        <w:tab/>
        <w:t>Ciljevi revizije bili su:</w:t>
      </w:r>
    </w:p>
    <w:p w:rsidR="002975CB" w:rsidRPr="00A57618" w:rsidRDefault="002975CB" w:rsidP="002975CB">
      <w:pPr>
        <w:ind w:left="1134" w:hanging="567"/>
      </w:pPr>
      <w:r w:rsidRPr="00C42E39">
        <w:t>–</w:t>
      </w:r>
      <w:r w:rsidRPr="00A57618">
        <w:tab/>
      </w:r>
      <w:r>
        <w:t>provjeriti obavljaju li se osnovni poslovi u skladu sa zakonima, drugim propisima te unutarnjim aktima Agencije</w:t>
      </w:r>
    </w:p>
    <w:p w:rsidR="002975CB" w:rsidRDefault="002975CB" w:rsidP="002975CB">
      <w:pPr>
        <w:ind w:left="1134" w:hanging="567"/>
      </w:pPr>
      <w:r w:rsidRPr="00C42E39">
        <w:t>–</w:t>
      </w:r>
      <w:r w:rsidRPr="00A57618">
        <w:tab/>
      </w:r>
      <w:r>
        <w:t>provjeriti ostvarenje prihoda s naglaskom na ostvarenje prihoda od naknada za obavljanje poslova regulacije energetskih djelatnosti</w:t>
      </w:r>
    </w:p>
    <w:p w:rsidR="002975CB" w:rsidRDefault="002975CB" w:rsidP="002975CB">
      <w:pPr>
        <w:tabs>
          <w:tab w:val="left" w:pos="600"/>
          <w:tab w:val="left" w:pos="1134"/>
        </w:tabs>
        <w:ind w:firstLine="567"/>
      </w:pPr>
      <w:r w:rsidRPr="00C42E39">
        <w:t>–</w:t>
      </w:r>
      <w:r>
        <w:tab/>
      </w:r>
      <w:r w:rsidRPr="00016903">
        <w:t>provjeriti aktivnosti praćenja gubitaka u prij</w:t>
      </w:r>
      <w:r>
        <w:t>enosnoj i distribucijskoj mreži</w:t>
      </w:r>
    </w:p>
    <w:p w:rsidR="002975CB" w:rsidRPr="00016903" w:rsidRDefault="002975CB" w:rsidP="002975CB">
      <w:pPr>
        <w:tabs>
          <w:tab w:val="left" w:pos="600"/>
          <w:tab w:val="left" w:pos="1134"/>
        </w:tabs>
        <w:ind w:firstLine="567"/>
      </w:pPr>
      <w:r w:rsidRPr="00C42E39">
        <w:t>–</w:t>
      </w:r>
      <w:r>
        <w:tab/>
      </w:r>
      <w:r w:rsidRPr="00F1331A">
        <w:t xml:space="preserve">provjeriti aktivnosti praćenja bilance proizvodnje </w:t>
      </w:r>
      <w:r>
        <w:t>i potrošnje električne energije</w:t>
      </w:r>
    </w:p>
    <w:p w:rsidR="002975CB" w:rsidRDefault="002975CB" w:rsidP="002975CB">
      <w:pPr>
        <w:ind w:left="1134" w:hanging="567"/>
      </w:pPr>
      <w:r>
        <w:t>–</w:t>
      </w:r>
      <w:r>
        <w:tab/>
      </w:r>
      <w:r w:rsidRPr="00F1331A">
        <w:t xml:space="preserve">provjeriti aktivnosti u vezi </w:t>
      </w:r>
      <w:r>
        <w:t>s uravnoteženjem</w:t>
      </w:r>
      <w:r w:rsidRPr="00F1331A">
        <w:t xml:space="preserve"> elektroenergetskog sustava i pomoćne usluge</w:t>
      </w:r>
    </w:p>
    <w:p w:rsidR="002975CB" w:rsidRDefault="002975CB" w:rsidP="002975CB">
      <w:pPr>
        <w:ind w:left="1134" w:hanging="567"/>
      </w:pPr>
      <w:r>
        <w:t>–</w:t>
      </w:r>
      <w:r>
        <w:tab/>
        <w:t>provjeriti upravljanje ljudskim potencijalima s naglaskom na zapošljavanje, unaprjeđenje te obračun plaća</w:t>
      </w:r>
    </w:p>
    <w:p w:rsidR="002975CB" w:rsidRDefault="002975CB" w:rsidP="002975CB">
      <w:pPr>
        <w:tabs>
          <w:tab w:val="left" w:pos="600"/>
          <w:tab w:val="left" w:pos="1134"/>
        </w:tabs>
        <w:ind w:firstLine="567"/>
      </w:pPr>
      <w:r>
        <w:t>–</w:t>
      </w:r>
      <w:r>
        <w:tab/>
      </w:r>
      <w:r w:rsidRPr="00F1331A">
        <w:t>provjeriti</w:t>
      </w:r>
      <w:r>
        <w:t xml:space="preserve"> postupke javne nabave</w:t>
      </w:r>
    </w:p>
    <w:p w:rsidR="002975CB" w:rsidRDefault="002975CB" w:rsidP="002975CB">
      <w:pPr>
        <w:tabs>
          <w:tab w:val="left" w:pos="600"/>
          <w:tab w:val="left" w:pos="1134"/>
        </w:tabs>
        <w:ind w:firstLine="567"/>
      </w:pPr>
      <w:r>
        <w:t>–</w:t>
      </w:r>
      <w:r>
        <w:tab/>
      </w:r>
      <w:r w:rsidRPr="00F1331A">
        <w:t xml:space="preserve">provjeriti provedbu naloga </w:t>
      </w:r>
      <w:r>
        <w:t>i</w:t>
      </w:r>
      <w:r w:rsidR="000A28CC">
        <w:t xml:space="preserve"> </w:t>
      </w:r>
      <w:r w:rsidR="00F5062B">
        <w:t>preporuka iz prošlih revizija</w:t>
      </w:r>
    </w:p>
    <w:p w:rsidR="002975CB" w:rsidRDefault="002975CB" w:rsidP="00F253AF">
      <w:pPr>
        <w:tabs>
          <w:tab w:val="left" w:pos="600"/>
          <w:tab w:val="left" w:pos="1134"/>
        </w:tabs>
        <w:ind w:firstLine="567"/>
      </w:pPr>
      <w:r>
        <w:t>–</w:t>
      </w:r>
      <w:r>
        <w:tab/>
      </w:r>
      <w:r w:rsidRPr="00F1331A">
        <w:t>provjeriti druge aktiv</w:t>
      </w:r>
      <w:r>
        <w:t>nosti u vezi s poslovanjem Agencije.</w:t>
      </w:r>
    </w:p>
    <w:p w:rsidR="002975CB" w:rsidRPr="00A57618" w:rsidRDefault="002975CB" w:rsidP="002975CB">
      <w:pPr>
        <w:tabs>
          <w:tab w:val="left" w:pos="600"/>
        </w:tabs>
      </w:pPr>
    </w:p>
    <w:p w:rsidR="002975CB" w:rsidRDefault="002975CB" w:rsidP="002975CB">
      <w:pPr>
        <w:ind w:firstLine="567"/>
      </w:pPr>
      <w:r w:rsidRPr="007555FF">
        <w:rPr>
          <w:rFonts w:cs="Arial"/>
          <w:b/>
        </w:rPr>
        <w:t>Nepovoljno mišljenje</w:t>
      </w:r>
      <w:r w:rsidRPr="007555FF">
        <w:rPr>
          <w:rFonts w:cs="Arial"/>
        </w:rPr>
        <w:t xml:space="preserve"> </w:t>
      </w:r>
      <w:r>
        <w:rPr>
          <w:rFonts w:cs="Arial"/>
        </w:rPr>
        <w:t>o usklađenosti poslovanja izraženo je z</w:t>
      </w:r>
      <w:r w:rsidRPr="007555FF">
        <w:rPr>
          <w:rFonts w:cs="Arial"/>
        </w:rPr>
        <w:t xml:space="preserve">bog značajnih nepravilnosti </w:t>
      </w:r>
      <w:r>
        <w:rPr>
          <w:rFonts w:cs="Arial"/>
        </w:rPr>
        <w:t xml:space="preserve">i propusta </w:t>
      </w:r>
      <w:r w:rsidRPr="007555FF">
        <w:rPr>
          <w:rFonts w:cs="Arial"/>
        </w:rPr>
        <w:t xml:space="preserve">u </w:t>
      </w:r>
      <w:r>
        <w:rPr>
          <w:rFonts w:cs="Arial"/>
        </w:rPr>
        <w:t>provođenju različitih vrsta nadzora određenih</w:t>
      </w:r>
      <w:r w:rsidRPr="00222AED">
        <w:t xml:space="preserve"> </w:t>
      </w:r>
      <w:r>
        <w:t>o</w:t>
      </w:r>
      <w:r w:rsidRPr="00741231">
        <w:t xml:space="preserve">dredbama članka 11. Zakona o regulaciji energetskih djelatnosti </w:t>
      </w:r>
      <w:r>
        <w:t>kao</w:t>
      </w:r>
      <w:r w:rsidRPr="00741231">
        <w:t xml:space="preserve"> osnovni</w:t>
      </w:r>
      <w:r>
        <w:t>h</w:t>
      </w:r>
      <w:r w:rsidRPr="00741231">
        <w:t xml:space="preserve"> poslov</w:t>
      </w:r>
      <w:r>
        <w:t>a</w:t>
      </w:r>
      <w:r w:rsidRPr="00741231">
        <w:t xml:space="preserve"> </w:t>
      </w:r>
      <w:r>
        <w:t xml:space="preserve">koje obavlja </w:t>
      </w:r>
      <w:r w:rsidRPr="00741231">
        <w:t>Agencij</w:t>
      </w:r>
      <w:r>
        <w:t>a te drugih nepravilnosti i propusta u obavljanju djelatnosti.</w:t>
      </w:r>
      <w:r w:rsidRPr="00741231">
        <w:t xml:space="preserve"> </w:t>
      </w:r>
    </w:p>
    <w:p w:rsidR="002975CB" w:rsidRDefault="002975CB" w:rsidP="002975CB">
      <w:pPr>
        <w:ind w:firstLine="567"/>
        <w:rPr>
          <w:rFonts w:cs="Arial"/>
          <w:highlight w:val="yellow"/>
        </w:rPr>
      </w:pPr>
    </w:p>
    <w:p w:rsidR="002975CB" w:rsidRPr="002975CB" w:rsidRDefault="002975CB" w:rsidP="002975CB">
      <w:pPr>
        <w:pStyle w:val="Odlomakpopisa"/>
        <w:autoSpaceDE w:val="0"/>
        <w:autoSpaceDN w:val="0"/>
        <w:adjustRightInd w:val="0"/>
        <w:spacing w:after="0" w:line="240" w:lineRule="auto"/>
        <w:ind w:left="0" w:firstLine="567"/>
        <w:jc w:val="both"/>
        <w:rPr>
          <w:rFonts w:ascii="Arial" w:hAnsi="Arial" w:cs="Arial"/>
          <w:sz w:val="24"/>
          <w:szCs w:val="24"/>
        </w:rPr>
      </w:pPr>
      <w:r w:rsidRPr="002975CB">
        <w:rPr>
          <w:rFonts w:ascii="Arial" w:hAnsi="Arial" w:cs="Arial"/>
          <w:sz w:val="24"/>
          <w:szCs w:val="24"/>
        </w:rPr>
        <w:t>Najznačajnije nepravilnosti koje su utjecale na izražavanje nepovoljnog mišljenja odnosile su se na sljedeće:</w:t>
      </w:r>
    </w:p>
    <w:p w:rsidR="002975CB" w:rsidRDefault="002975CB" w:rsidP="002975CB">
      <w:pPr>
        <w:pStyle w:val="Odlomakpopisa"/>
        <w:autoSpaceDE w:val="0"/>
        <w:autoSpaceDN w:val="0"/>
        <w:adjustRightInd w:val="0"/>
        <w:spacing w:after="0" w:line="240" w:lineRule="auto"/>
        <w:ind w:left="1134" w:hanging="567"/>
        <w:jc w:val="both"/>
        <w:rPr>
          <w:rFonts w:ascii="Arial" w:hAnsi="Arial" w:cs="Arial"/>
          <w:sz w:val="24"/>
          <w:szCs w:val="24"/>
        </w:rPr>
      </w:pPr>
      <w:r w:rsidRPr="002975CB">
        <w:rPr>
          <w:rFonts w:ascii="Arial" w:hAnsi="Arial" w:cs="Arial"/>
          <w:sz w:val="24"/>
          <w:szCs w:val="24"/>
        </w:rPr>
        <w:t>–</w:t>
      </w:r>
      <w:r w:rsidRPr="002975CB">
        <w:rPr>
          <w:rFonts w:ascii="Arial" w:hAnsi="Arial" w:cs="Arial"/>
          <w:sz w:val="24"/>
          <w:szCs w:val="24"/>
        </w:rPr>
        <w:tab/>
        <w:t xml:space="preserve">predsjednik Upravnog vijeća </w:t>
      </w:r>
      <w:r w:rsidRPr="00D266C4">
        <w:rPr>
          <w:rFonts w:ascii="Arial" w:hAnsi="Arial" w:cs="Arial"/>
          <w:sz w:val="24"/>
          <w:szCs w:val="24"/>
        </w:rPr>
        <w:t>nije imenovan te Agencija ima tri člana Upravnog vijeća, što je manje od broja članova utvrđenih odredbama Zakona o regulaciji energetskih djelatnosti i Statuta, kojima je određeno da</w:t>
      </w:r>
      <w:r>
        <w:rPr>
          <w:rFonts w:ascii="Arial" w:hAnsi="Arial" w:cs="Arial"/>
          <w:sz w:val="24"/>
          <w:szCs w:val="24"/>
        </w:rPr>
        <w:t xml:space="preserve"> Upravno vijeće ima pet članova</w:t>
      </w:r>
    </w:p>
    <w:p w:rsidR="002975CB" w:rsidRPr="00AD6071" w:rsidRDefault="002975CB" w:rsidP="002975CB">
      <w:pPr>
        <w:pStyle w:val="Odlomakpopisa"/>
        <w:autoSpaceDE w:val="0"/>
        <w:autoSpaceDN w:val="0"/>
        <w:adjustRightInd w:val="0"/>
        <w:spacing w:after="0" w:line="240" w:lineRule="auto"/>
        <w:ind w:left="1134" w:hanging="567"/>
        <w:jc w:val="both"/>
        <w:rPr>
          <w:rFonts w:ascii="Arial" w:hAnsi="Arial" w:cs="Arial"/>
          <w:sz w:val="24"/>
          <w:szCs w:val="24"/>
        </w:rPr>
      </w:pPr>
      <w:r>
        <w:rPr>
          <w:rFonts w:ascii="Arial" w:hAnsi="Arial" w:cs="Arial"/>
          <w:sz w:val="24"/>
          <w:szCs w:val="24"/>
        </w:rPr>
        <w:t>–</w:t>
      </w:r>
      <w:r>
        <w:rPr>
          <w:rFonts w:ascii="Arial" w:hAnsi="Arial" w:cs="Arial"/>
          <w:sz w:val="24"/>
          <w:szCs w:val="24"/>
        </w:rPr>
        <w:tab/>
        <w:t>u</w:t>
      </w:r>
      <w:r w:rsidRPr="00D266C4">
        <w:rPr>
          <w:rFonts w:ascii="Arial" w:hAnsi="Arial" w:cs="Arial"/>
          <w:sz w:val="24"/>
          <w:szCs w:val="24"/>
        </w:rPr>
        <w:t>nutarnjim aktima nije detaljno uređen način provedbe pojedinih osnovnih poslova utvrđenih odredbama Zakona o reg</w:t>
      </w:r>
      <w:r>
        <w:rPr>
          <w:rFonts w:ascii="Arial" w:hAnsi="Arial" w:cs="Arial"/>
          <w:sz w:val="24"/>
          <w:szCs w:val="24"/>
        </w:rPr>
        <w:t xml:space="preserve">ulaciji energetskih djelatnosti </w:t>
      </w:r>
    </w:p>
    <w:p w:rsidR="002975CB" w:rsidRPr="002975CB" w:rsidRDefault="002975CB" w:rsidP="002975CB">
      <w:pPr>
        <w:ind w:left="1134" w:hanging="567"/>
        <w:rPr>
          <w:rFonts w:cs="Arial"/>
        </w:rPr>
      </w:pPr>
      <w:r>
        <w:rPr>
          <w:rFonts w:cs="Arial"/>
        </w:rPr>
        <w:t>–</w:t>
      </w:r>
      <w:r>
        <w:rPr>
          <w:rFonts w:cs="Arial"/>
        </w:rPr>
        <w:tab/>
        <w:t>t</w:t>
      </w:r>
      <w:r w:rsidRPr="00D266C4">
        <w:rPr>
          <w:rFonts w:cs="Arial"/>
        </w:rPr>
        <w:t>ijekom 2021. i 2022. Agencija nije obavljala poslove utvrđene odredbama članka 11. Zakona o regulaciji energetskih djelatnosti koji se odnose na nadzor transparentnosti funkcioniranja tržišta energije, nadzor stupnja otvorenosti, natjecanja i zlouporaba na tržištu energije i u opskrbi kupaca, nadzor ograničavajućih ugovora, nadzor slobode ugovaranja u pogledu ugovora o opskrbi s mogućnošću prekida te dugoročnih ugovora</w:t>
      </w:r>
      <w:r>
        <w:rPr>
          <w:rFonts w:cs="Arial"/>
        </w:rPr>
        <w:t xml:space="preserve">, </w:t>
      </w:r>
      <w:r w:rsidRPr="00D266C4">
        <w:rPr>
          <w:rFonts w:cs="Arial"/>
        </w:rPr>
        <w:t xml:space="preserve">nadzor povjerljivosti podataka kupaca o potrošnji energije, nadzor primjene propisanih kriterija za utvrđivanje pristupa sustavu skladišta plina te izvještavanje drugih mjerodavnih državnih tijela, </w:t>
      </w:r>
      <w:r w:rsidRPr="002975CB">
        <w:rPr>
          <w:rFonts w:cs="Arial"/>
        </w:rPr>
        <w:t xml:space="preserve">Agencije za suradnju energetskih regulatora (ACER), Europske komisije i drugih tijela Europske unije, odnosno podnošenje godišnjeg izvješća ACER-u i Europskoj komisiji </w:t>
      </w:r>
    </w:p>
    <w:p w:rsidR="002975CB" w:rsidRDefault="002975CB" w:rsidP="002975CB">
      <w:pPr>
        <w:ind w:left="1128" w:hanging="561"/>
      </w:pPr>
      <w:r>
        <w:rPr>
          <w:rFonts w:cs="Arial"/>
        </w:rPr>
        <w:t>–</w:t>
      </w:r>
      <w:r>
        <w:rPr>
          <w:rFonts w:cs="Arial"/>
        </w:rPr>
        <w:tab/>
      </w:r>
      <w:r w:rsidRPr="002975CB">
        <w:t xml:space="preserve">odredbama Uredbe (EU) br. 1227/2011 Europskog parlamenta i Vijeća iz 2011. o cjelovitosti i transparentnosti veleprodajnog tržišta energije određeno je da bi nacionalna regulatorna tijela, koja imaju sveobuhvatno razumijevanje kretanja na tržištima energije u svojim državama članicama trebala imati ulogu osiguravanja učinkovitog nadzora tržišta na nacionalnoj razini te da su suradnja ACER-a i nacionalnih tijela potrebni radi osiguravanja nadzora i transparentnosti tržišta energije; određeno je da nacionalna regulatorna tijela bez odgađanja obavještavaju ACER ako imaju utemeljene razloge za sumnju da se u toj državi članici ili u drugoj državi članici izvršavaju ili su izvršena djela kojima se krši navedena Uredba; određeno je da je za učinkovit nadzor tržišta potreban redovit i pravodoban pristup evidenciji o transakcijama, kao i pristup strukturnim podacima o kapacitetu i korištenju sustava za proizvodnju, skladištenje, potrošnju ili prijenos električne energije ili transport prirodnog plina; </w:t>
      </w:r>
      <w:r w:rsidRPr="002975CB">
        <w:rPr>
          <w:szCs w:val="20"/>
        </w:rPr>
        <w:t>određeno je da nacionalna regulatorna tijela surađuju na regionalnoj razini s ACER-om pri izvršavanju nadzora veleprodajnih tržišta energije te imaju pristup informaci</w:t>
      </w:r>
      <w:r w:rsidR="002F5F8E">
        <w:rPr>
          <w:szCs w:val="20"/>
        </w:rPr>
        <w:t>jama koje ACER čuva i prikuplja</w:t>
      </w:r>
      <w:r w:rsidRPr="002975CB">
        <w:rPr>
          <w:szCs w:val="20"/>
        </w:rPr>
        <w:t xml:space="preserve"> te da nacionalna regulatorna tijela također mogu nadzirati aktivnosti trgovanja veleprodajnim energetskim proizvodima na nacionalnoj razini, a Agencija nije obavljala nadzor u skladu s odredbama navedene Uredbe, </w:t>
      </w:r>
      <w:r w:rsidRPr="002975CB">
        <w:t>u vrijeme obavljanja revizije (srpanj 2023.) nije imala pristup podacima koje s veleprodajnih tržišta prikuplja ACER (jer nije ispunila zahtjeve za osiguranje informacijske sigurnosti), nije izgrađena izdvojena računalna mreža za potrebe provedbe navedene Uredbe (uz uvođenje sustava upravljanja informacijskom sigurnošću), obavijesti o uočenim nepravilnostima nisu dostavljane ACER-u</w:t>
      </w:r>
    </w:p>
    <w:p w:rsidR="00AB13E8" w:rsidRPr="002975CB" w:rsidRDefault="00AB13E8" w:rsidP="002975CB">
      <w:pPr>
        <w:ind w:left="1128" w:hanging="561"/>
      </w:pPr>
    </w:p>
    <w:p w:rsidR="002975CB" w:rsidRPr="002975CB" w:rsidRDefault="002975CB" w:rsidP="002975CB">
      <w:pPr>
        <w:ind w:left="1128" w:hanging="564"/>
        <w:rPr>
          <w:bCs/>
          <w:szCs w:val="20"/>
        </w:rPr>
      </w:pPr>
      <w:r>
        <w:t>–</w:t>
      </w:r>
      <w:r>
        <w:tab/>
      </w:r>
      <w:r w:rsidRPr="002975CB">
        <w:t>u pojedinim slučajevima izdane su dozvole za obavljanje energetskih djelatnosti, a da energetski subjekti nisu dostavili dokaze da sa zaposlenicima imaju zaključen ugovor o radu; u</w:t>
      </w:r>
      <w:r w:rsidRPr="002975CB">
        <w:rPr>
          <w:bCs/>
          <w:szCs w:val="20"/>
        </w:rPr>
        <w:t xml:space="preserve"> okviru iste vrste energetske djelatnosti različito su određena razdoblja važenja dozvola; unutarnjim aktom nisu određeni kriteriji na temelju kojih se utvrđuje razdoblje na koje se produžavaju dozvole u okviru pojedinih vrsta energetskih djelatnosti </w:t>
      </w:r>
    </w:p>
    <w:p w:rsidR="002975CB" w:rsidRPr="002975CB" w:rsidRDefault="002975CB" w:rsidP="002975CB">
      <w:pPr>
        <w:ind w:left="1128" w:hanging="561"/>
        <w:rPr>
          <w:rFonts w:cs="Arial"/>
        </w:rPr>
      </w:pPr>
      <w:r w:rsidRPr="002975CB">
        <w:rPr>
          <w:rFonts w:cs="Arial"/>
        </w:rPr>
        <w:t>–</w:t>
      </w:r>
      <w:r w:rsidRPr="002975CB">
        <w:rPr>
          <w:rFonts w:cs="Arial"/>
        </w:rPr>
        <w:tab/>
        <w:t>Pravilnikom o organizaciji i sistematizaciji nisu obuhvaćeni poslovi nadzora povjerljivosti podataka kupaca o potrošnji energije te nadzora primjene propisanih kriterija za utvrđivanje pristupa sustavu skladišta plina koji su prema odredbama Zakona o regulaciji energetskih djelatnosti određeni kao osnovni poslovi Agencije te stvarno potreban broj zaposlenih koji će osigurati provedbu poslova utvrđenih odredbama Zakona o regulaciji energetskih djelatnosti nije utvrđen</w:t>
      </w:r>
    </w:p>
    <w:p w:rsidR="002975CB" w:rsidRPr="002975CB" w:rsidRDefault="002975CB" w:rsidP="002975CB">
      <w:pPr>
        <w:ind w:left="1128" w:hanging="561"/>
      </w:pPr>
      <w:r w:rsidRPr="002975CB">
        <w:t>–</w:t>
      </w:r>
      <w:r w:rsidRPr="002975CB">
        <w:tab/>
        <w:t>godišnji planovi zapošljavanja za 2021. i 2022. nisu doneseni, prije provedbe postupaka zapošljavanja predsjednik Upravnog vijeća nije donosio pisane odluke u kojima je obrazložena potreba novog zapošljavanja, unutarnjim aktom nije propisano osnivanje i poslovi povjerenstva za provođenje postupaka izbora kandidata niti su uređeni postupci i kriteriji za izbor kandidata; rangiranje kandidata nije obavljano</w:t>
      </w:r>
      <w:r w:rsidR="002F5F8E">
        <w:t>,</w:t>
      </w:r>
      <w:r w:rsidRPr="002975CB">
        <w:t xml:space="preserve"> a rezultati izbora kandidata nisu objavljivani na mrežnim stranicama</w:t>
      </w:r>
    </w:p>
    <w:p w:rsidR="002975CB" w:rsidRPr="002975CB" w:rsidRDefault="002975CB" w:rsidP="002975CB">
      <w:pPr>
        <w:ind w:left="1128" w:hanging="564"/>
      </w:pPr>
      <w:r w:rsidRPr="002975CB">
        <w:t>–</w:t>
      </w:r>
      <w:r w:rsidRPr="002975CB">
        <w:tab/>
        <w:t xml:space="preserve">koeficijenti radnih mjesta nisu jednoobrazno primjenjivani za ista radna mjesta; unutarnjim aktima nisu utvrđeni kriteriji i mjerila za vrednovanje rezultata rada te </w:t>
      </w:r>
      <w:r w:rsidRPr="002975CB">
        <w:rPr>
          <w:rFonts w:cs="Arial"/>
        </w:rPr>
        <w:t>nisu uređeni postupci, uvjeti i kriteriji za unaprjeđenje zaposlenika na radno mjesto s višim koeficijentom.</w:t>
      </w:r>
    </w:p>
    <w:p w:rsidR="002975CB" w:rsidRPr="002975CB" w:rsidRDefault="002975CB" w:rsidP="002975CB">
      <w:pPr>
        <w:autoSpaceDE/>
        <w:autoSpaceDN/>
        <w:adjustRightInd/>
      </w:pPr>
    </w:p>
    <w:p w:rsidR="002975CB" w:rsidRDefault="002975CB" w:rsidP="002975CB">
      <w:pPr>
        <w:ind w:right="-23"/>
        <w:rPr>
          <w:rFonts w:eastAsia="Calibri" w:cs="Arial"/>
        </w:rPr>
      </w:pPr>
      <w:r>
        <w:rPr>
          <w:rFonts w:eastAsia="Calibri" w:cs="Arial"/>
        </w:rPr>
        <w:tab/>
      </w:r>
      <w:r w:rsidRPr="003422B3">
        <w:rPr>
          <w:rFonts w:eastAsia="Calibri" w:cs="Arial"/>
        </w:rPr>
        <w:t>Za utvrđene nepravilnosti i propuste dan</w:t>
      </w:r>
      <w:r>
        <w:rPr>
          <w:rFonts w:eastAsia="Calibri" w:cs="Arial"/>
        </w:rPr>
        <w:t>a su</w:t>
      </w:r>
      <w:r w:rsidRPr="003422B3">
        <w:rPr>
          <w:rFonts w:eastAsia="Calibri" w:cs="Arial"/>
        </w:rPr>
        <w:t xml:space="preserve"> </w:t>
      </w:r>
      <w:r w:rsidRPr="002975CB">
        <w:rPr>
          <w:rFonts w:eastAsia="Calibri" w:cs="Arial"/>
          <w:b/>
        </w:rPr>
        <w:t>23 naloga i preporuk</w:t>
      </w:r>
      <w:r>
        <w:rPr>
          <w:rFonts w:eastAsia="Calibri" w:cs="Arial"/>
          <w:b/>
        </w:rPr>
        <w:t>e</w:t>
      </w:r>
      <w:r w:rsidRPr="003422B3">
        <w:rPr>
          <w:rFonts w:eastAsia="Calibri" w:cs="Arial"/>
        </w:rPr>
        <w:t>, čija bi provedba pridonijela većoj usklađenosti poslovanja sa zakonima i unutarnjim aktima te višoj razini javne odgovornosti za racionalno upravljanje javnim sredstvima.</w:t>
      </w:r>
    </w:p>
    <w:p w:rsidR="002975CB" w:rsidRDefault="002975CB" w:rsidP="00B74CA4">
      <w:pPr>
        <w:ind w:firstLine="567"/>
        <w:rPr>
          <w:rFonts w:cs="Arial"/>
          <w:b/>
        </w:rPr>
      </w:pPr>
    </w:p>
    <w:p w:rsidR="002975CB" w:rsidRDefault="002975CB" w:rsidP="002975CB">
      <w:pPr>
        <w:pBdr>
          <w:bottom w:val="single" w:sz="4" w:space="1" w:color="auto"/>
        </w:pBdr>
        <w:ind w:firstLine="567"/>
        <w:rPr>
          <w:rFonts w:cs="Arial"/>
          <w:b/>
        </w:rPr>
      </w:pPr>
    </w:p>
    <w:p w:rsidR="002975CB" w:rsidRDefault="002975CB" w:rsidP="00D2467D">
      <w:pPr>
        <w:ind w:firstLine="567"/>
        <w:rPr>
          <w:rFonts w:cs="Arial"/>
          <w:b/>
        </w:rPr>
      </w:pPr>
    </w:p>
    <w:p w:rsidR="002975CB" w:rsidRDefault="002975CB" w:rsidP="00D2467D">
      <w:pPr>
        <w:ind w:firstLine="567"/>
        <w:rPr>
          <w:rFonts w:cs="Arial"/>
          <w:b/>
        </w:rPr>
      </w:pPr>
    </w:p>
    <w:p w:rsidR="00A23D9C" w:rsidRPr="00310690" w:rsidRDefault="00AB13E8" w:rsidP="00FF13F4">
      <w:pPr>
        <w:shd w:val="clear" w:color="auto" w:fill="D9D9D9" w:themeFill="background1" w:themeFillShade="D9"/>
        <w:tabs>
          <w:tab w:val="left" w:pos="567"/>
        </w:tabs>
        <w:rPr>
          <w:rFonts w:cs="Arial"/>
          <w:b/>
        </w:rPr>
      </w:pPr>
      <w:r>
        <w:rPr>
          <w:rFonts w:cs="Arial"/>
          <w:b/>
        </w:rPr>
        <w:t xml:space="preserve">III. </w:t>
      </w:r>
      <w:r>
        <w:rPr>
          <w:rFonts w:cs="Arial"/>
          <w:b/>
        </w:rPr>
        <w:tab/>
      </w:r>
      <w:r w:rsidR="00D2467D" w:rsidRPr="00310690">
        <w:rPr>
          <w:rFonts w:cs="Arial"/>
          <w:b/>
        </w:rPr>
        <w:t>R</w:t>
      </w:r>
      <w:r w:rsidR="00596EAB" w:rsidRPr="00310690">
        <w:rPr>
          <w:rFonts w:cs="Arial"/>
          <w:b/>
        </w:rPr>
        <w:t>EVIZIJ</w:t>
      </w:r>
      <w:r w:rsidR="00741C32" w:rsidRPr="00310690">
        <w:rPr>
          <w:rFonts w:cs="Arial"/>
          <w:b/>
        </w:rPr>
        <w:t>E</w:t>
      </w:r>
      <w:r w:rsidR="00596EAB" w:rsidRPr="00310690">
        <w:rPr>
          <w:rFonts w:cs="Arial"/>
          <w:b/>
        </w:rPr>
        <w:t xml:space="preserve"> UČINKOVITOSTI </w:t>
      </w:r>
    </w:p>
    <w:p w:rsidR="00596EAB" w:rsidRPr="00310690" w:rsidRDefault="00596EAB" w:rsidP="009270F2">
      <w:pPr>
        <w:rPr>
          <w:rFonts w:cs="Arial"/>
          <w:b/>
        </w:rPr>
      </w:pPr>
    </w:p>
    <w:p w:rsidR="00B672D2" w:rsidRPr="00310690" w:rsidRDefault="00AC50B5" w:rsidP="009270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cs="Arial"/>
          <w:noProof/>
          <w:lang w:val="en-US" w:eastAsia="en-US"/>
        </w:rPr>
      </w:pPr>
      <w:r w:rsidRPr="00310690">
        <w:rPr>
          <w:rFonts w:cs="Arial"/>
        </w:rPr>
        <w:tab/>
      </w:r>
      <w:r w:rsidR="00596EAB" w:rsidRPr="00310690">
        <w:rPr>
          <w:rFonts w:cs="Arial"/>
        </w:rPr>
        <w:t>Revizijama u</w:t>
      </w:r>
      <w:r w:rsidR="0007650D" w:rsidRPr="00310690">
        <w:rPr>
          <w:rFonts w:cs="Arial"/>
        </w:rPr>
        <w:t xml:space="preserve">činkovitosti </w:t>
      </w:r>
      <w:r w:rsidR="00AC4FB5" w:rsidRPr="00D06639">
        <w:rPr>
          <w:rFonts w:cs="Arial"/>
          <w:b/>
        </w:rPr>
        <w:t>ocjenjuje se</w:t>
      </w:r>
      <w:r w:rsidR="00596EAB" w:rsidRPr="00310690">
        <w:rPr>
          <w:rFonts w:cs="Arial"/>
          <w:b/>
        </w:rPr>
        <w:t xml:space="preserve"> </w:t>
      </w:r>
      <w:r w:rsidR="00DF4320" w:rsidRPr="00310690">
        <w:rPr>
          <w:rFonts w:cs="Arial"/>
          <w:noProof/>
          <w:lang w:val="en-US" w:eastAsia="en-US"/>
        </w:rPr>
        <w:t>ostvaruju li se projekti, programi i aktivnosti subjekata revizije u skladu s načelima ekonomičnosti, d</w:t>
      </w:r>
      <w:r w:rsidR="0091152E" w:rsidRPr="00310690">
        <w:rPr>
          <w:rFonts w:cs="Arial"/>
          <w:noProof/>
          <w:lang w:val="en-US" w:eastAsia="en-US"/>
        </w:rPr>
        <w:t>jelotvornosti i svrsishodnosti te</w:t>
      </w:r>
      <w:r w:rsidR="00DF4320" w:rsidRPr="00310690">
        <w:rPr>
          <w:rFonts w:cs="Arial"/>
          <w:noProof/>
          <w:lang w:val="en-US" w:eastAsia="en-US"/>
        </w:rPr>
        <w:t xml:space="preserve"> ima li prostora za poboljšanja</w:t>
      </w:r>
      <w:bookmarkStart w:id="0" w:name="_GoBack"/>
      <w:bookmarkEnd w:id="0"/>
      <w:r w:rsidR="00DF4320" w:rsidRPr="00310690">
        <w:rPr>
          <w:rFonts w:cs="Arial"/>
          <w:noProof/>
          <w:lang w:val="en-US" w:eastAsia="en-US"/>
        </w:rPr>
        <w:t xml:space="preserve">. </w:t>
      </w:r>
    </w:p>
    <w:p w:rsidR="00E74D2A" w:rsidRPr="00310690" w:rsidRDefault="00E74D2A" w:rsidP="00437448">
      <w:pPr>
        <w:tabs>
          <w:tab w:val="left" w:pos="284"/>
          <w:tab w:val="left" w:pos="567"/>
          <w:tab w:val="left" w:pos="851"/>
        </w:tabs>
        <w:ind w:firstLine="567"/>
        <w:rPr>
          <w:rFonts w:cs="Arial"/>
          <w:b/>
          <w:u w:val="single"/>
        </w:rPr>
      </w:pPr>
    </w:p>
    <w:p w:rsidR="00E74D2A" w:rsidRPr="00310690" w:rsidRDefault="00E74D2A" w:rsidP="00437448">
      <w:pPr>
        <w:tabs>
          <w:tab w:val="left" w:pos="284"/>
          <w:tab w:val="left" w:pos="567"/>
          <w:tab w:val="left" w:pos="851"/>
        </w:tabs>
        <w:ind w:firstLine="567"/>
        <w:rPr>
          <w:rFonts w:cs="Arial"/>
          <w:b/>
          <w:u w:val="single"/>
        </w:rPr>
      </w:pPr>
    </w:p>
    <w:p w:rsidR="00AC4FB5" w:rsidRPr="00AB13E8" w:rsidRDefault="0012355C" w:rsidP="00AB13E8">
      <w:pPr>
        <w:shd w:val="clear" w:color="auto" w:fill="D9D9D9" w:themeFill="background1" w:themeFillShade="D9"/>
        <w:tabs>
          <w:tab w:val="left" w:pos="284"/>
          <w:tab w:val="left" w:pos="567"/>
          <w:tab w:val="left" w:pos="851"/>
        </w:tabs>
        <w:ind w:firstLine="567"/>
        <w:rPr>
          <w:rFonts w:cs="Arial"/>
          <w:b/>
        </w:rPr>
      </w:pPr>
      <w:r>
        <w:rPr>
          <w:rFonts w:cs="Arial"/>
          <w:b/>
        </w:rPr>
        <w:t>Upravljanje</w:t>
      </w:r>
      <w:r w:rsidR="00867635" w:rsidRPr="00AB13E8">
        <w:rPr>
          <w:rFonts w:cs="Arial"/>
          <w:b/>
        </w:rPr>
        <w:t xml:space="preserve"> građevinama za navodnjavanje i mješovitim melioracijskim građevinama u Republici Hrvatsko</w:t>
      </w:r>
      <w:r w:rsidR="00867635" w:rsidRPr="00AB13E8">
        <w:rPr>
          <w:rFonts w:cs="Arial"/>
        </w:rPr>
        <w:t>j</w:t>
      </w:r>
      <w:r w:rsidR="00AC4FB5" w:rsidRPr="00AB13E8">
        <w:rPr>
          <w:rFonts w:cs="Arial"/>
          <w:b/>
        </w:rPr>
        <w:t xml:space="preserve">  </w:t>
      </w:r>
    </w:p>
    <w:p w:rsidR="001D7DFC" w:rsidRPr="00310690" w:rsidRDefault="001D7DFC" w:rsidP="009270F2">
      <w:pPr>
        <w:tabs>
          <w:tab w:val="left" w:pos="284"/>
          <w:tab w:val="left" w:pos="567"/>
          <w:tab w:val="left" w:pos="851"/>
        </w:tabs>
        <w:rPr>
          <w:rFonts w:cs="Arial"/>
          <w:b/>
          <w:u w:val="single"/>
        </w:rPr>
      </w:pPr>
    </w:p>
    <w:p w:rsidR="005415F8" w:rsidRPr="00310690" w:rsidRDefault="005415F8" w:rsidP="005415F8">
      <w:pPr>
        <w:spacing w:line="259" w:lineRule="auto"/>
        <w:ind w:firstLine="567"/>
        <w:rPr>
          <w:rFonts w:cs="Arial"/>
        </w:rPr>
      </w:pPr>
      <w:r w:rsidRPr="00310690">
        <w:rPr>
          <w:rFonts w:cs="Arial"/>
        </w:rPr>
        <w:t xml:space="preserve">Revizijom učinkovitosti upravljanja građevinama za navodnjavanje i mješovitim melioracijskim građevinama u Republici Hrvatskoj </w:t>
      </w:r>
      <w:r w:rsidR="009C5463" w:rsidRPr="00310690">
        <w:rPr>
          <w:rFonts w:cs="Arial"/>
        </w:rPr>
        <w:t>obuhvatili smo</w:t>
      </w:r>
      <w:r w:rsidRPr="00310690">
        <w:rPr>
          <w:rFonts w:cs="Arial"/>
        </w:rPr>
        <w:t xml:space="preserve"> </w:t>
      </w:r>
      <w:r w:rsidRPr="00310690">
        <w:rPr>
          <w:rFonts w:cs="Arial"/>
          <w:b/>
        </w:rPr>
        <w:t>Ministarstvo poljoprivrede, Ministarstvo gospodarstva i održivog razvoja</w:t>
      </w:r>
      <w:r w:rsidRPr="00310690">
        <w:rPr>
          <w:rFonts w:cs="Arial"/>
        </w:rPr>
        <w:t xml:space="preserve">, </w:t>
      </w:r>
      <w:r w:rsidRPr="00310690">
        <w:rPr>
          <w:rFonts w:cs="Arial"/>
          <w:b/>
        </w:rPr>
        <w:t>Hrvatske vode</w:t>
      </w:r>
      <w:r w:rsidRPr="00310690">
        <w:rPr>
          <w:rFonts w:cs="Arial"/>
        </w:rPr>
        <w:t xml:space="preserve"> te </w:t>
      </w:r>
      <w:r w:rsidRPr="00310690">
        <w:rPr>
          <w:rFonts w:cs="Arial"/>
          <w:b/>
        </w:rPr>
        <w:t>sve županije</w:t>
      </w:r>
      <w:r w:rsidRPr="00310690">
        <w:rPr>
          <w:rFonts w:cs="Arial"/>
        </w:rPr>
        <w:t xml:space="preserve">. </w:t>
      </w:r>
    </w:p>
    <w:p w:rsidR="005415F8" w:rsidRPr="00310690" w:rsidRDefault="005415F8" w:rsidP="005415F8">
      <w:pPr>
        <w:spacing w:line="259" w:lineRule="auto"/>
        <w:ind w:firstLine="567"/>
        <w:rPr>
          <w:rFonts w:cs="Arial"/>
        </w:rPr>
      </w:pPr>
      <w:r w:rsidRPr="00310690">
        <w:rPr>
          <w:rFonts w:cs="Arial"/>
          <w:b/>
        </w:rPr>
        <w:t>Predmet</w:t>
      </w:r>
      <w:r w:rsidRPr="00310690">
        <w:rPr>
          <w:rFonts w:cs="Arial"/>
        </w:rPr>
        <w:t xml:space="preserve"> revizije bile su aktivnosti tijela nadležnih za upravljanje građevinama za navodnjavanje i mješovitim melioracijskim građevinama u Republici Hrvatskoj, a revizijom je obuhvaćen pravni, strateški i planski okvir za učinkovito upravljanje građevinama za navodnjavanje i mješovitim melioracijskim građevinama, evidencije građevina za navodnjavanje, gradnja, korištenje i održavanje građevina za navodnjavanje i mješovitih melioracijskih građevina, korištenje voda za navodnjavanje u skladu s vodnim potencijalom i potrebama za navodnjavanjem te provođenje nadzora nad korištenjem voda i informiranje o navodnjavanju i ostvarenju Nacionalnog projekta navodnjavanja i gospodarenja poljoprivrednim zemljištem i vodama u Republici Hrvatskoj – NAPNAV.</w:t>
      </w:r>
    </w:p>
    <w:p w:rsidR="005415F8" w:rsidRPr="00310690" w:rsidRDefault="005415F8" w:rsidP="005415F8">
      <w:pPr>
        <w:spacing w:line="259" w:lineRule="auto"/>
        <w:ind w:firstLine="567"/>
        <w:rPr>
          <w:rFonts w:cs="Arial"/>
        </w:rPr>
      </w:pPr>
    </w:p>
    <w:p w:rsidR="009C5463" w:rsidRPr="00310690" w:rsidRDefault="005415F8" w:rsidP="005415F8">
      <w:pPr>
        <w:spacing w:line="259" w:lineRule="auto"/>
        <w:ind w:firstLine="567"/>
        <w:rPr>
          <w:rFonts w:cs="Arial"/>
        </w:rPr>
      </w:pPr>
      <w:r w:rsidRPr="00310690">
        <w:rPr>
          <w:rFonts w:cs="Arial"/>
        </w:rPr>
        <w:t xml:space="preserve">Podaci o ukupnim poljoprivrednim površinama koje su pokrivene sustavima za navodnjavanje u Republici Hrvatskoj (s naznakom radi li se o javnom ili privatnom sustavu) se ne prikupljaju niti su objedinjeni. </w:t>
      </w:r>
    </w:p>
    <w:p w:rsidR="005415F8" w:rsidRPr="00310690" w:rsidRDefault="005415F8" w:rsidP="005415F8">
      <w:pPr>
        <w:spacing w:line="259" w:lineRule="auto"/>
        <w:ind w:firstLine="567"/>
        <w:rPr>
          <w:rFonts w:cs="Arial"/>
        </w:rPr>
      </w:pPr>
      <w:r w:rsidRPr="00310690">
        <w:rPr>
          <w:rFonts w:cs="Arial"/>
        </w:rPr>
        <w:t>Prema podacima Hrvatskih voda, sustavi javnog navodnja</w:t>
      </w:r>
      <w:r w:rsidR="002F5F8E">
        <w:rPr>
          <w:rFonts w:cs="Arial"/>
        </w:rPr>
        <w:t xml:space="preserve">vanja obuhvaćaju površinu od 17 </w:t>
      </w:r>
      <w:r w:rsidRPr="00310690">
        <w:rPr>
          <w:rFonts w:cs="Arial"/>
        </w:rPr>
        <w:t xml:space="preserve">936 </w:t>
      </w:r>
      <w:r w:rsidR="00DA5017">
        <w:rPr>
          <w:rFonts w:cs="Arial"/>
        </w:rPr>
        <w:t>ha, dok druga tijela imaju druk</w:t>
      </w:r>
      <w:r w:rsidRPr="00310690">
        <w:rPr>
          <w:rFonts w:cs="Arial"/>
        </w:rPr>
        <w:t xml:space="preserve">čije podatke.  </w:t>
      </w:r>
    </w:p>
    <w:p w:rsidR="009C5463" w:rsidRPr="002975CB" w:rsidRDefault="005415F8" w:rsidP="009C5463">
      <w:pPr>
        <w:spacing w:line="259" w:lineRule="auto"/>
        <w:ind w:firstLine="567"/>
        <w:rPr>
          <w:rFonts w:cs="Arial"/>
        </w:rPr>
      </w:pPr>
      <w:r w:rsidRPr="00310690">
        <w:rPr>
          <w:rFonts w:cs="Arial"/>
        </w:rPr>
        <w:t>Obavljanjem ove revizije u kojoj su subjekti bili županije, kao vlasnici građevina za javno navodnjavanje, utvrđeno je da je do sredine 2023. izgrađena 21 građevina za navodnjavanje</w:t>
      </w:r>
      <w:r w:rsidR="000C02F2">
        <w:rPr>
          <w:rFonts w:cs="Arial"/>
        </w:rPr>
        <w:t>,</w:t>
      </w:r>
      <w:r w:rsidRPr="00310690">
        <w:rPr>
          <w:rFonts w:cs="Arial"/>
        </w:rPr>
        <w:t xml:space="preserve"> od kojih dio građevina još nema uporabne dozvole, a dio građevina ko</w:t>
      </w:r>
      <w:r w:rsidR="000C02F2">
        <w:rPr>
          <w:rFonts w:cs="Arial"/>
        </w:rPr>
        <w:t>je su izgrađene nisu u funkciji</w:t>
      </w:r>
      <w:r w:rsidRPr="00310690">
        <w:rPr>
          <w:rFonts w:cs="Arial"/>
        </w:rPr>
        <w:t xml:space="preserve"> (neke od njih su u </w:t>
      </w:r>
      <w:r w:rsidRPr="002975CB">
        <w:rPr>
          <w:rFonts w:cs="Arial"/>
        </w:rPr>
        <w:t xml:space="preserve">određenom razdoblju </w:t>
      </w:r>
      <w:r w:rsidRPr="00310690">
        <w:rPr>
          <w:rFonts w:cs="Arial"/>
        </w:rPr>
        <w:t>bile u funkciji). Kod 21 izgrađene građevine javnog navodnjavanja pov</w:t>
      </w:r>
      <w:r w:rsidR="000C02F2">
        <w:rPr>
          <w:rFonts w:cs="Arial"/>
        </w:rPr>
        <w:t xml:space="preserve">ršina zemljišta u obuhvatu je 7 </w:t>
      </w:r>
      <w:r w:rsidRPr="00310690">
        <w:rPr>
          <w:rFonts w:cs="Arial"/>
        </w:rPr>
        <w:t>580,54 ha, od čega je površina zemlji</w:t>
      </w:r>
      <w:r w:rsidR="004C48F3">
        <w:rPr>
          <w:rFonts w:cs="Arial"/>
        </w:rPr>
        <w:t>šta koje je moguće navodnjavati</w:t>
      </w:r>
      <w:r w:rsidRPr="00310690">
        <w:rPr>
          <w:rFonts w:cs="Arial"/>
        </w:rPr>
        <w:t xml:space="preserve"> </w:t>
      </w:r>
      <w:r w:rsidRPr="00DB7DDB">
        <w:rPr>
          <w:rFonts w:cs="Arial"/>
        </w:rPr>
        <w:t xml:space="preserve">jer </w:t>
      </w:r>
      <w:r w:rsidR="003A0ACF" w:rsidRPr="00DB7DDB">
        <w:rPr>
          <w:rFonts w:cs="Arial"/>
        </w:rPr>
        <w:t>korisnici imaju opremu</w:t>
      </w:r>
      <w:r w:rsidR="000C02F2" w:rsidRPr="00DB7DDB">
        <w:rPr>
          <w:rFonts w:cs="Arial"/>
        </w:rPr>
        <w:t xml:space="preserve"> za navodnjavanje</w:t>
      </w:r>
      <w:r w:rsidR="000C02F2">
        <w:rPr>
          <w:rFonts w:cs="Arial"/>
        </w:rPr>
        <w:t xml:space="preserve"> 2 </w:t>
      </w:r>
      <w:r w:rsidRPr="00310690">
        <w:rPr>
          <w:rFonts w:cs="Arial"/>
        </w:rPr>
        <w:t xml:space="preserve">205,09 ha, dok </w:t>
      </w:r>
      <w:r w:rsidR="000C02F2">
        <w:rPr>
          <w:rFonts w:cs="Arial"/>
        </w:rPr>
        <w:t xml:space="preserve">je tijekom 2022. navodnjavano 1 </w:t>
      </w:r>
      <w:r w:rsidRPr="00310690">
        <w:rPr>
          <w:rFonts w:cs="Arial"/>
        </w:rPr>
        <w:t xml:space="preserve">325,45 ha </w:t>
      </w:r>
      <w:r w:rsidRPr="002975CB">
        <w:rPr>
          <w:rFonts w:cs="Arial"/>
        </w:rPr>
        <w:t>poljoprivrednog zemljišta.</w:t>
      </w:r>
      <w:r w:rsidR="009C5463" w:rsidRPr="002975CB">
        <w:rPr>
          <w:rFonts w:cs="Arial"/>
        </w:rPr>
        <w:t xml:space="preserve"> </w:t>
      </w:r>
    </w:p>
    <w:p w:rsidR="009C5463" w:rsidRPr="002975CB" w:rsidRDefault="009857E5" w:rsidP="009C5463">
      <w:pPr>
        <w:spacing w:line="259" w:lineRule="auto"/>
        <w:ind w:firstLine="567"/>
        <w:rPr>
          <w:rFonts w:cs="Arial"/>
        </w:rPr>
      </w:pPr>
      <w:r w:rsidRPr="00DB7DDB">
        <w:rPr>
          <w:rFonts w:cs="Arial"/>
        </w:rPr>
        <w:t>T</w:t>
      </w:r>
      <w:r w:rsidR="009C5463" w:rsidRPr="00DB7DDB">
        <w:rPr>
          <w:rFonts w:cs="Arial"/>
        </w:rPr>
        <w:t>ema</w:t>
      </w:r>
      <w:r w:rsidR="009C5463" w:rsidRPr="002975CB">
        <w:rPr>
          <w:rFonts w:cs="Arial"/>
        </w:rPr>
        <w:t xml:space="preserve"> navodnjavanja je odabrana jer je Republik</w:t>
      </w:r>
      <w:r w:rsidR="0032458F">
        <w:rPr>
          <w:rFonts w:cs="Arial"/>
        </w:rPr>
        <w:t>a Hrvatska na začelju Europske u</w:t>
      </w:r>
      <w:r w:rsidR="009C5463" w:rsidRPr="002975CB">
        <w:rPr>
          <w:rFonts w:cs="Arial"/>
        </w:rPr>
        <w:t xml:space="preserve">nije </w:t>
      </w:r>
      <w:r w:rsidR="00075215">
        <w:rPr>
          <w:rFonts w:cs="Arial"/>
        </w:rPr>
        <w:t>u vezi s poljoprivrednim</w:t>
      </w:r>
      <w:r w:rsidR="009C5463" w:rsidRPr="002975CB">
        <w:rPr>
          <w:rFonts w:cs="Arial"/>
        </w:rPr>
        <w:t xml:space="preserve"> površina</w:t>
      </w:r>
      <w:r w:rsidR="00075215">
        <w:rPr>
          <w:rFonts w:cs="Arial"/>
        </w:rPr>
        <w:t>ma</w:t>
      </w:r>
      <w:r w:rsidR="009C5463" w:rsidRPr="002975CB">
        <w:rPr>
          <w:rFonts w:cs="Arial"/>
        </w:rPr>
        <w:t xml:space="preserve"> koje se navodnjavaju.</w:t>
      </w:r>
    </w:p>
    <w:p w:rsidR="005415F8" w:rsidRPr="002975CB" w:rsidRDefault="005415F8" w:rsidP="005415F8">
      <w:pPr>
        <w:spacing w:line="259" w:lineRule="auto"/>
        <w:ind w:firstLine="567"/>
        <w:rPr>
          <w:rFonts w:cs="Arial"/>
        </w:rPr>
      </w:pPr>
    </w:p>
    <w:p w:rsidR="005415F8" w:rsidRPr="00310690" w:rsidRDefault="005415F8" w:rsidP="005415F8">
      <w:pPr>
        <w:spacing w:line="259" w:lineRule="auto"/>
        <w:ind w:firstLine="567"/>
        <w:rPr>
          <w:rFonts w:cs="Arial"/>
          <w:b/>
        </w:rPr>
      </w:pPr>
      <w:r w:rsidRPr="00310690">
        <w:rPr>
          <w:rFonts w:cs="Arial"/>
        </w:rPr>
        <w:t>Revizijom je, između ostalog, utvrđeno sljedeće</w:t>
      </w:r>
      <w:r w:rsidRPr="00075215">
        <w:rPr>
          <w:rFonts w:cs="Arial"/>
        </w:rPr>
        <w:t>:</w:t>
      </w:r>
    </w:p>
    <w:p w:rsidR="005415F8" w:rsidRPr="00310690" w:rsidRDefault="005415F8" w:rsidP="005415F8">
      <w:pPr>
        <w:spacing w:line="259" w:lineRule="auto"/>
        <w:ind w:firstLine="567"/>
        <w:rPr>
          <w:rFonts w:cs="Arial"/>
        </w:rPr>
      </w:pPr>
    </w:p>
    <w:p w:rsidR="005415F8" w:rsidRPr="00310690" w:rsidRDefault="005415F8" w:rsidP="004D5054">
      <w:pPr>
        <w:spacing w:line="259" w:lineRule="auto"/>
        <w:ind w:left="1134" w:hanging="567"/>
        <w:rPr>
          <w:rFonts w:cs="Arial"/>
        </w:rPr>
      </w:pPr>
      <w:r w:rsidRPr="00310690">
        <w:rPr>
          <w:rFonts w:cs="Arial"/>
        </w:rPr>
        <w:t>–</w:t>
      </w:r>
      <w:r w:rsidRPr="00310690">
        <w:rPr>
          <w:rFonts w:cs="Arial"/>
        </w:rPr>
        <w:tab/>
        <w:t>aktivnosti radi donošenja planskih dokumenata – NAPNAV-a i Višegodišnjeg programa gradnje</w:t>
      </w:r>
      <w:r w:rsidRPr="00310690">
        <w:rPr>
          <w:rFonts w:cs="Arial"/>
          <w:iCs/>
        </w:rPr>
        <w:t xml:space="preserve"> nisu p</w:t>
      </w:r>
      <w:r w:rsidRPr="00310690">
        <w:rPr>
          <w:rFonts w:cs="Arial"/>
        </w:rPr>
        <w:t>ravodobno poduzete</w:t>
      </w:r>
    </w:p>
    <w:p w:rsidR="005415F8" w:rsidRPr="00310690" w:rsidRDefault="005415F8" w:rsidP="004D5054">
      <w:pPr>
        <w:spacing w:line="259" w:lineRule="auto"/>
        <w:ind w:left="1134" w:hanging="567"/>
        <w:rPr>
          <w:rFonts w:cs="Arial"/>
        </w:rPr>
      </w:pPr>
      <w:r w:rsidRPr="00310690">
        <w:rPr>
          <w:rFonts w:cs="Arial"/>
        </w:rPr>
        <w:t>–</w:t>
      </w:r>
      <w:r w:rsidRPr="00310690">
        <w:rPr>
          <w:rFonts w:cs="Arial"/>
        </w:rPr>
        <w:tab/>
        <w:t xml:space="preserve">Republika Hrvatska nema </w:t>
      </w:r>
      <w:r w:rsidR="007E73D9">
        <w:rPr>
          <w:rFonts w:cs="Arial"/>
        </w:rPr>
        <w:t xml:space="preserve">pouzdane i objedinjene podatke </w:t>
      </w:r>
      <w:r w:rsidRPr="00310690">
        <w:rPr>
          <w:rFonts w:cs="Arial"/>
        </w:rPr>
        <w:t>o površinama koje su pokri</w:t>
      </w:r>
      <w:r w:rsidR="00311B14" w:rsidRPr="00310690">
        <w:rPr>
          <w:rFonts w:cs="Arial"/>
        </w:rPr>
        <w:t>vene sustavima za navodnjavanje</w:t>
      </w:r>
    </w:p>
    <w:p w:rsidR="005415F8" w:rsidRPr="00310690" w:rsidRDefault="0052678B" w:rsidP="004D5054">
      <w:pPr>
        <w:tabs>
          <w:tab w:val="left" w:pos="567"/>
        </w:tabs>
        <w:spacing w:line="259" w:lineRule="auto"/>
        <w:ind w:left="1134" w:hanging="567"/>
        <w:rPr>
          <w:rFonts w:cs="Arial"/>
        </w:rPr>
      </w:pPr>
      <w:r w:rsidRPr="00310690">
        <w:rPr>
          <w:rFonts w:cs="Arial"/>
        </w:rPr>
        <w:t>–</w:t>
      </w:r>
      <w:r w:rsidRPr="00310690">
        <w:rPr>
          <w:rFonts w:cs="Arial"/>
        </w:rPr>
        <w:tab/>
        <w:t>p</w:t>
      </w:r>
      <w:r w:rsidR="005415F8" w:rsidRPr="00310690">
        <w:rPr>
          <w:rFonts w:cs="Arial"/>
        </w:rPr>
        <w:t xml:space="preserve">rije početka gradnje građevina </w:t>
      </w:r>
      <w:r w:rsidR="0032458F">
        <w:rPr>
          <w:rFonts w:cs="Arial"/>
        </w:rPr>
        <w:t>za navodnjavanje nisu doneseni p</w:t>
      </w:r>
      <w:r w:rsidR="005415F8" w:rsidRPr="00310690">
        <w:rPr>
          <w:rFonts w:cs="Arial"/>
        </w:rPr>
        <w:t xml:space="preserve">rogrami gradnje sustava navodnjavanja, a </w:t>
      </w:r>
      <w:r w:rsidR="005415F8" w:rsidRPr="00075215">
        <w:rPr>
          <w:rFonts w:cs="Arial"/>
        </w:rPr>
        <w:t xml:space="preserve">također </w:t>
      </w:r>
      <w:r w:rsidR="00075215" w:rsidRPr="00075215">
        <w:rPr>
          <w:rFonts w:cs="Arial"/>
        </w:rPr>
        <w:t xml:space="preserve">nisu doneseni ni </w:t>
      </w:r>
      <w:r w:rsidR="005415F8" w:rsidRPr="00075215">
        <w:rPr>
          <w:rFonts w:cs="Arial"/>
        </w:rPr>
        <w:t>programi održavanja sustava</w:t>
      </w:r>
      <w:r w:rsidR="00075215" w:rsidRPr="00075215">
        <w:rPr>
          <w:rFonts w:cs="Arial"/>
        </w:rPr>
        <w:t xml:space="preserve"> navodnjavanja</w:t>
      </w:r>
      <w:r w:rsidR="005415F8" w:rsidRPr="00075215">
        <w:rPr>
          <w:rFonts w:cs="Arial"/>
        </w:rPr>
        <w:t xml:space="preserve"> za sustave koji su započeli s radom, što nije u skladu s odredbama Zakona o vodama i Pravilnika</w:t>
      </w:r>
      <w:r w:rsidR="005415F8" w:rsidRPr="00310690">
        <w:rPr>
          <w:rFonts w:cs="Arial"/>
        </w:rPr>
        <w:t xml:space="preserve"> o upravljanju i uređenju susta</w:t>
      </w:r>
      <w:r w:rsidR="00311B14" w:rsidRPr="00310690">
        <w:rPr>
          <w:rFonts w:cs="Arial"/>
        </w:rPr>
        <w:t>va za navodnjavanje</w:t>
      </w:r>
    </w:p>
    <w:p w:rsidR="005415F8" w:rsidRPr="00310690" w:rsidRDefault="005415F8" w:rsidP="004D5054">
      <w:pPr>
        <w:spacing w:line="259" w:lineRule="auto"/>
        <w:ind w:left="1134" w:hanging="567"/>
        <w:rPr>
          <w:rFonts w:cs="Arial"/>
        </w:rPr>
      </w:pPr>
      <w:r w:rsidRPr="00310690">
        <w:rPr>
          <w:rFonts w:cs="Arial"/>
        </w:rPr>
        <w:t>–</w:t>
      </w:r>
      <w:r w:rsidRPr="00310690">
        <w:rPr>
          <w:rFonts w:cs="Arial"/>
        </w:rPr>
        <w:tab/>
      </w:r>
      <w:r w:rsidR="00311B14" w:rsidRPr="00310690">
        <w:rPr>
          <w:rFonts w:cs="Arial"/>
        </w:rPr>
        <w:t>k</w:t>
      </w:r>
      <w:r w:rsidRPr="00310690">
        <w:rPr>
          <w:rFonts w:cs="Arial"/>
        </w:rPr>
        <w:t>atastar vodnih građevina nije ustrojen, a Registar korištenja voda za navodnjavanje ne sadrži sve propisane podatke u skladu s odredbama Pravilnika o sadržaju, obliku i nač</w:t>
      </w:r>
      <w:r w:rsidR="00311B14" w:rsidRPr="00310690">
        <w:rPr>
          <w:rFonts w:cs="Arial"/>
        </w:rPr>
        <w:t>inu vođenja vodne dokumentacije</w:t>
      </w:r>
    </w:p>
    <w:p w:rsidR="005415F8" w:rsidRPr="00310690" w:rsidRDefault="005415F8" w:rsidP="004D5054">
      <w:pPr>
        <w:spacing w:line="259" w:lineRule="auto"/>
        <w:ind w:left="1134" w:hanging="567"/>
        <w:rPr>
          <w:rFonts w:cs="Arial"/>
        </w:rPr>
      </w:pPr>
      <w:r w:rsidRPr="00310690">
        <w:rPr>
          <w:rFonts w:cs="Arial"/>
        </w:rPr>
        <w:t>–</w:t>
      </w:r>
      <w:r w:rsidRPr="00310690">
        <w:rPr>
          <w:rFonts w:cs="Arial"/>
        </w:rPr>
        <w:tab/>
      </w:r>
      <w:r w:rsidR="00311B14" w:rsidRPr="00310690">
        <w:rPr>
          <w:rFonts w:cs="Arial"/>
        </w:rPr>
        <w:t>o</w:t>
      </w:r>
      <w:r w:rsidRPr="00310690">
        <w:rPr>
          <w:rFonts w:cs="Arial"/>
        </w:rPr>
        <w:t>dluke o visini i obvezi plaćanja naknade za navodnjavanje nisu donesene te nije obračunavana i naplaćivana naknada za navodnjavanje za s</w:t>
      </w:r>
      <w:r w:rsidR="00311B14" w:rsidRPr="00310690">
        <w:rPr>
          <w:rFonts w:cs="Arial"/>
        </w:rPr>
        <w:t>ustave koji su započeli s radom</w:t>
      </w:r>
    </w:p>
    <w:p w:rsidR="005415F8" w:rsidRPr="00310690" w:rsidRDefault="005415F8" w:rsidP="004D5054">
      <w:pPr>
        <w:spacing w:line="259" w:lineRule="auto"/>
        <w:ind w:left="1134" w:hanging="567"/>
        <w:rPr>
          <w:rFonts w:cs="Arial"/>
        </w:rPr>
      </w:pPr>
      <w:r w:rsidRPr="00310690">
        <w:rPr>
          <w:rFonts w:cs="Arial"/>
        </w:rPr>
        <w:t>–</w:t>
      </w:r>
      <w:r w:rsidRPr="00310690">
        <w:rPr>
          <w:rFonts w:cs="Arial"/>
        </w:rPr>
        <w:tab/>
      </w:r>
      <w:r w:rsidR="00311B14" w:rsidRPr="00310690">
        <w:rPr>
          <w:rFonts w:cs="Arial"/>
        </w:rPr>
        <w:t>d</w:t>
      </w:r>
      <w:r w:rsidRPr="00310690">
        <w:rPr>
          <w:rFonts w:cs="Arial"/>
        </w:rPr>
        <w:t>io izgrađenih sustava za navodnjavanje se ne koristi ili s</w:t>
      </w:r>
      <w:r w:rsidR="00311B14" w:rsidRPr="00310690">
        <w:rPr>
          <w:rFonts w:cs="Arial"/>
        </w:rPr>
        <w:t>e ne koristi u punom kapacitetu</w:t>
      </w:r>
    </w:p>
    <w:p w:rsidR="005415F8" w:rsidRPr="00310690" w:rsidRDefault="005415F8" w:rsidP="004D5054">
      <w:pPr>
        <w:spacing w:line="259" w:lineRule="auto"/>
        <w:ind w:left="1134" w:hanging="567"/>
        <w:rPr>
          <w:rFonts w:cs="Arial"/>
        </w:rPr>
      </w:pPr>
      <w:r w:rsidRPr="00310690">
        <w:rPr>
          <w:rFonts w:cs="Arial"/>
        </w:rPr>
        <w:t>–</w:t>
      </w:r>
      <w:r w:rsidRPr="00310690">
        <w:rPr>
          <w:rFonts w:cs="Arial"/>
        </w:rPr>
        <w:tab/>
      </w:r>
      <w:r w:rsidR="00311B14" w:rsidRPr="00310690">
        <w:rPr>
          <w:rFonts w:cs="Arial"/>
        </w:rPr>
        <w:t>p</w:t>
      </w:r>
      <w:r w:rsidRPr="00310690">
        <w:rPr>
          <w:rFonts w:cs="Arial"/>
        </w:rPr>
        <w:t>lanirane aktivnosti kroz provedbu pilot-projekata, kojima je trebalo utvrditi način postupanja, većinom nisu realizi</w:t>
      </w:r>
      <w:r w:rsidR="004C48F3">
        <w:rPr>
          <w:rFonts w:cs="Arial"/>
        </w:rPr>
        <w:t>rane</w:t>
      </w:r>
      <w:r w:rsidRPr="00310690">
        <w:rPr>
          <w:rFonts w:cs="Arial"/>
        </w:rPr>
        <w:t>, a pripremne radnje na izgradnji građevina z</w:t>
      </w:r>
      <w:r w:rsidR="00311B14" w:rsidRPr="00310690">
        <w:rPr>
          <w:rFonts w:cs="Arial"/>
        </w:rPr>
        <w:t>a navodnjavanje jako dugo traju</w:t>
      </w:r>
    </w:p>
    <w:p w:rsidR="005415F8" w:rsidRPr="00310690" w:rsidRDefault="005415F8" w:rsidP="004D5054">
      <w:pPr>
        <w:spacing w:line="259" w:lineRule="auto"/>
        <w:ind w:left="1134" w:hanging="567"/>
        <w:rPr>
          <w:rFonts w:cs="Arial"/>
        </w:rPr>
      </w:pPr>
      <w:r w:rsidRPr="00310690">
        <w:rPr>
          <w:rFonts w:cs="Arial"/>
        </w:rPr>
        <w:t>–</w:t>
      </w:r>
      <w:r w:rsidRPr="00310690">
        <w:rPr>
          <w:rFonts w:cs="Arial"/>
        </w:rPr>
        <w:tab/>
      </w:r>
      <w:r w:rsidR="00311B14" w:rsidRPr="00310690">
        <w:rPr>
          <w:rFonts w:cs="Arial"/>
        </w:rPr>
        <w:t>k</w:t>
      </w:r>
      <w:r w:rsidRPr="00310690">
        <w:rPr>
          <w:rFonts w:cs="Arial"/>
        </w:rPr>
        <w:t>omasacija, kao jedan od preduvjeta za izgradnju javnih sustava navod</w:t>
      </w:r>
      <w:r w:rsidR="00311B14" w:rsidRPr="00310690">
        <w:rPr>
          <w:rFonts w:cs="Arial"/>
        </w:rPr>
        <w:t>njavanja, nije provedena</w:t>
      </w:r>
    </w:p>
    <w:p w:rsidR="005415F8" w:rsidRPr="00310690" w:rsidRDefault="005415F8" w:rsidP="004D5054">
      <w:pPr>
        <w:spacing w:line="259" w:lineRule="auto"/>
        <w:ind w:left="1134" w:hanging="567"/>
        <w:rPr>
          <w:rFonts w:cs="Arial"/>
        </w:rPr>
      </w:pPr>
      <w:r w:rsidRPr="00310690">
        <w:rPr>
          <w:rFonts w:cs="Arial"/>
        </w:rPr>
        <w:t>–</w:t>
      </w:r>
      <w:r w:rsidRPr="00310690">
        <w:rPr>
          <w:rFonts w:cs="Arial"/>
        </w:rPr>
        <w:tab/>
      </w:r>
      <w:r w:rsidR="00311B14" w:rsidRPr="00310690">
        <w:rPr>
          <w:rFonts w:cs="Arial"/>
        </w:rPr>
        <w:t>n</w:t>
      </w:r>
      <w:r w:rsidRPr="00310690">
        <w:rPr>
          <w:rFonts w:cs="Arial"/>
        </w:rPr>
        <w:t xml:space="preserve">isu provođene sustavne </w:t>
      </w:r>
      <w:proofErr w:type="spellStart"/>
      <w:r w:rsidRPr="00310690">
        <w:rPr>
          <w:rFonts w:cs="Arial"/>
        </w:rPr>
        <w:t>izobrazno</w:t>
      </w:r>
      <w:proofErr w:type="spellEnd"/>
      <w:r w:rsidRPr="00310690">
        <w:rPr>
          <w:rFonts w:cs="Arial"/>
        </w:rPr>
        <w:t xml:space="preserve">-informativne aktivnosti korisnika navodnjavanja u vezi s koristima postojećih sustava javnog navodnjavanja, novim tehnologijama i načinom financiranja sustava javnog navodnjavanja, odabirom optimalne opreme za navodnjavanje, povećanjem priroda poljoprivrednih kultura na površinama koje se navodnjavaju, potrebom proizvodnje poljoprivrednih kultura koje se nedovoljno proizvode u Republici Hrvatskoj te drugim koristima primjene sustava javnog navodnjavanja. </w:t>
      </w:r>
    </w:p>
    <w:p w:rsidR="009C5463" w:rsidRPr="00310690" w:rsidRDefault="009C5463" w:rsidP="0052678B">
      <w:pPr>
        <w:spacing w:line="259" w:lineRule="auto"/>
        <w:ind w:left="567" w:hanging="567"/>
        <w:rPr>
          <w:rFonts w:cs="Arial"/>
        </w:rPr>
      </w:pPr>
    </w:p>
    <w:p w:rsidR="005415F8" w:rsidRPr="00310690" w:rsidRDefault="005415F8" w:rsidP="005415F8">
      <w:pPr>
        <w:spacing w:line="259" w:lineRule="auto"/>
        <w:ind w:firstLine="567"/>
        <w:rPr>
          <w:rFonts w:cs="Arial"/>
        </w:rPr>
      </w:pPr>
      <w:r w:rsidRPr="00310690">
        <w:rPr>
          <w:rFonts w:cs="Arial"/>
        </w:rPr>
        <w:t xml:space="preserve">Ukupno je dano </w:t>
      </w:r>
      <w:r w:rsidRPr="00310690">
        <w:rPr>
          <w:rFonts w:cs="Arial"/>
          <w:b/>
        </w:rPr>
        <w:t>119 naloga i preporuka</w:t>
      </w:r>
      <w:r w:rsidRPr="00310690">
        <w:rPr>
          <w:rFonts w:cs="Arial"/>
        </w:rPr>
        <w:t>, čijom bi se provedbom postigla poboljšanja u vezi s uspostavom pravno</w:t>
      </w:r>
      <w:r w:rsidR="0032458F">
        <w:rPr>
          <w:rFonts w:cs="Arial"/>
        </w:rPr>
        <w:t>g, strateškog i planskog okvira</w:t>
      </w:r>
      <w:r w:rsidRPr="00310690">
        <w:rPr>
          <w:rFonts w:cs="Arial"/>
        </w:rPr>
        <w:t xml:space="preserve"> te </w:t>
      </w:r>
      <w:r w:rsidR="00075215" w:rsidRPr="00075215">
        <w:rPr>
          <w:rFonts w:cs="Arial"/>
        </w:rPr>
        <w:t>gradnjom</w:t>
      </w:r>
      <w:r w:rsidRPr="00075215">
        <w:rPr>
          <w:rFonts w:cs="Arial"/>
        </w:rPr>
        <w:t>, korištenje</w:t>
      </w:r>
      <w:r w:rsidR="00075215" w:rsidRPr="00075215">
        <w:rPr>
          <w:rFonts w:cs="Arial"/>
        </w:rPr>
        <w:t>m</w:t>
      </w:r>
      <w:r w:rsidRPr="00075215">
        <w:rPr>
          <w:rFonts w:cs="Arial"/>
        </w:rPr>
        <w:t xml:space="preserve"> i održavanje</w:t>
      </w:r>
      <w:r w:rsidR="00075215" w:rsidRPr="00075215">
        <w:rPr>
          <w:rFonts w:cs="Arial"/>
        </w:rPr>
        <w:t>m</w:t>
      </w:r>
      <w:r w:rsidRPr="00075215">
        <w:rPr>
          <w:rFonts w:cs="Arial"/>
        </w:rPr>
        <w:t xml:space="preserve"> građevina za navodnjavanje i mješovitih melioracijskih građevina, korištenje</w:t>
      </w:r>
      <w:r w:rsidR="00075215" w:rsidRPr="00075215">
        <w:rPr>
          <w:rFonts w:cs="Arial"/>
        </w:rPr>
        <w:t>m</w:t>
      </w:r>
      <w:r w:rsidRPr="00075215">
        <w:rPr>
          <w:rFonts w:cs="Arial"/>
        </w:rPr>
        <w:t xml:space="preserve"> voda za navodnjavanje te informiranje</w:t>
      </w:r>
      <w:r w:rsidR="00075215" w:rsidRPr="00075215">
        <w:rPr>
          <w:rFonts w:cs="Arial"/>
        </w:rPr>
        <w:t>m</w:t>
      </w:r>
      <w:r w:rsidRPr="00075215">
        <w:rPr>
          <w:rFonts w:cs="Arial"/>
        </w:rPr>
        <w:t xml:space="preserve"> o navodnjavanju kako bi se učinkovito upravljalo građevinama za navodnjavanje i mješovitim melioracijskim građevinama u Republici Hrvatskoj.</w:t>
      </w:r>
    </w:p>
    <w:p w:rsidR="005415F8" w:rsidRPr="00310690" w:rsidRDefault="005415F8" w:rsidP="00D82FA6">
      <w:pPr>
        <w:spacing w:line="259" w:lineRule="auto"/>
        <w:ind w:firstLine="567"/>
        <w:rPr>
          <w:rFonts w:cs="Arial"/>
          <w:highlight w:val="lightGray"/>
        </w:rPr>
      </w:pPr>
    </w:p>
    <w:p w:rsidR="00D82FA6" w:rsidRPr="00310690" w:rsidRDefault="00D82FA6" w:rsidP="003B4146">
      <w:pPr>
        <w:pBdr>
          <w:bottom w:val="single" w:sz="4" w:space="1" w:color="auto"/>
        </w:pBdr>
        <w:tabs>
          <w:tab w:val="left" w:pos="284"/>
          <w:tab w:val="left" w:pos="567"/>
          <w:tab w:val="left" w:pos="851"/>
        </w:tabs>
        <w:ind w:firstLine="567"/>
        <w:rPr>
          <w:rFonts w:cs="Arial"/>
        </w:rPr>
      </w:pPr>
    </w:p>
    <w:p w:rsidR="00660A8D" w:rsidRPr="00310690" w:rsidRDefault="00660A8D" w:rsidP="009270F2">
      <w:pPr>
        <w:rPr>
          <w:rFonts w:cs="Arial"/>
          <w:b/>
        </w:rPr>
      </w:pPr>
    </w:p>
    <w:p w:rsidR="00FB62B0" w:rsidRPr="00310690" w:rsidRDefault="00FB62B0" w:rsidP="009270F2">
      <w:pPr>
        <w:rPr>
          <w:rFonts w:cs="Arial"/>
          <w:b/>
        </w:rPr>
      </w:pPr>
    </w:p>
    <w:p w:rsidR="00ED0AE0" w:rsidRPr="00310690" w:rsidRDefault="002056DE" w:rsidP="006A3738">
      <w:pPr>
        <w:tabs>
          <w:tab w:val="left" w:pos="284"/>
          <w:tab w:val="left" w:pos="567"/>
          <w:tab w:val="left" w:pos="851"/>
        </w:tabs>
        <w:ind w:firstLine="567"/>
        <w:rPr>
          <w:rFonts w:cs="Arial"/>
        </w:rPr>
      </w:pP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rPr>
        <w:tab/>
      </w:r>
      <w:r w:rsidRPr="00310690">
        <w:rPr>
          <w:rFonts w:cs="Arial"/>
        </w:rPr>
        <w:tab/>
      </w:r>
    </w:p>
    <w:p w:rsidR="00951A71" w:rsidRPr="00310690" w:rsidRDefault="00F45A2C" w:rsidP="001B778F">
      <w:pPr>
        <w:tabs>
          <w:tab w:val="left" w:pos="567"/>
        </w:tabs>
        <w:ind w:firstLine="567"/>
        <w:rPr>
          <w:rFonts w:cs="Arial"/>
        </w:rPr>
      </w:pPr>
      <w:r w:rsidRPr="00310690">
        <w:rPr>
          <w:rFonts w:cs="Arial"/>
        </w:rPr>
        <w:t xml:space="preserve">Osoba za kontakt: </w:t>
      </w:r>
      <w:r w:rsidR="001B778F" w:rsidRPr="00310690">
        <w:rPr>
          <w:rFonts w:cs="Arial"/>
        </w:rPr>
        <w:t>Josipa Maraković</w:t>
      </w:r>
      <w:r w:rsidR="00536163" w:rsidRPr="00310690">
        <w:rPr>
          <w:rFonts w:cs="Arial"/>
        </w:rPr>
        <w:t xml:space="preserve">, </w:t>
      </w:r>
      <w:r w:rsidR="00D14F18" w:rsidRPr="00310690">
        <w:rPr>
          <w:rFonts w:cs="Arial"/>
        </w:rPr>
        <w:t>načelnica odjela</w:t>
      </w:r>
      <w:r w:rsidR="004D5054" w:rsidRPr="00310690">
        <w:rPr>
          <w:rFonts w:cs="Arial"/>
        </w:rPr>
        <w:t xml:space="preserve">, </w:t>
      </w:r>
      <w:r w:rsidR="00536163" w:rsidRPr="00310690">
        <w:rPr>
          <w:rFonts w:cs="Arial"/>
        </w:rPr>
        <w:t>adresa</w:t>
      </w:r>
      <w:r w:rsidR="004D5054" w:rsidRPr="00310690">
        <w:rPr>
          <w:rFonts w:cs="Arial"/>
        </w:rPr>
        <w:t xml:space="preserve"> elektroničke pošte</w:t>
      </w:r>
      <w:r w:rsidR="00536163" w:rsidRPr="00310690">
        <w:rPr>
          <w:rFonts w:cs="Arial"/>
        </w:rPr>
        <w:t xml:space="preserve">: </w:t>
      </w:r>
      <w:hyperlink r:id="rId10" w:history="1">
        <w:r w:rsidR="001B778F" w:rsidRPr="00310690">
          <w:rPr>
            <w:rStyle w:val="Hiperveza"/>
            <w:rFonts w:cs="Arial"/>
          </w:rPr>
          <w:t>josipa.marakovic@revizija.hr</w:t>
        </w:r>
      </w:hyperlink>
      <w:r w:rsidR="00536163" w:rsidRPr="00310690">
        <w:rPr>
          <w:rFonts w:cs="Arial"/>
        </w:rPr>
        <w:t xml:space="preserve">, </w:t>
      </w:r>
      <w:r w:rsidR="004D5054" w:rsidRPr="00310690">
        <w:rPr>
          <w:rFonts w:cs="Arial"/>
        </w:rPr>
        <w:t xml:space="preserve">broj </w:t>
      </w:r>
      <w:r w:rsidR="00EE1E71" w:rsidRPr="00310690">
        <w:rPr>
          <w:rFonts w:cs="Arial"/>
        </w:rPr>
        <w:t>mob</w:t>
      </w:r>
      <w:r w:rsidR="004D5054" w:rsidRPr="00310690">
        <w:rPr>
          <w:rFonts w:cs="Arial"/>
        </w:rPr>
        <w:t>itela</w:t>
      </w:r>
      <w:r w:rsidR="00EE1E71" w:rsidRPr="00310690">
        <w:rPr>
          <w:rFonts w:cs="Arial"/>
        </w:rPr>
        <w:t>:</w:t>
      </w:r>
      <w:r w:rsidR="00B928D7" w:rsidRPr="00310690">
        <w:rPr>
          <w:rFonts w:cs="Arial"/>
        </w:rPr>
        <w:t xml:space="preserve"> 09</w:t>
      </w:r>
      <w:r w:rsidR="001B778F" w:rsidRPr="00310690">
        <w:rPr>
          <w:rFonts w:cs="Arial"/>
        </w:rPr>
        <w:t>5 67 02 594</w:t>
      </w:r>
      <w:r w:rsidR="00536163" w:rsidRPr="00310690">
        <w:rPr>
          <w:rFonts w:cs="Arial"/>
        </w:rPr>
        <w:t>.</w:t>
      </w:r>
    </w:p>
    <w:p w:rsidR="00B928D7" w:rsidRPr="00310690" w:rsidRDefault="00B928D7" w:rsidP="009270F2">
      <w:pPr>
        <w:jc w:val="left"/>
        <w:rPr>
          <w:rFonts w:cs="Arial"/>
        </w:rPr>
      </w:pPr>
    </w:p>
    <w:p w:rsidR="00B928D7" w:rsidRPr="00310690" w:rsidRDefault="00B928D7" w:rsidP="009270F2">
      <w:pPr>
        <w:jc w:val="left"/>
        <w:rPr>
          <w:rFonts w:cs="Arial"/>
        </w:rPr>
      </w:pPr>
    </w:p>
    <w:p w:rsidR="00B56DF6" w:rsidRPr="00310690" w:rsidRDefault="00B56DF6" w:rsidP="009270F2">
      <w:pPr>
        <w:jc w:val="left"/>
        <w:rPr>
          <w:rFonts w:cs="Arial"/>
        </w:rPr>
      </w:pPr>
    </w:p>
    <w:p w:rsidR="000F76D6" w:rsidRPr="00310690" w:rsidRDefault="000F76D6" w:rsidP="009270F2">
      <w:pPr>
        <w:jc w:val="left"/>
        <w:rPr>
          <w:rFonts w:cs="Arial"/>
        </w:rPr>
      </w:pPr>
    </w:p>
    <w:p w:rsidR="000F76D6" w:rsidRPr="00310690" w:rsidRDefault="00E14BF8" w:rsidP="000F76D6">
      <w:pPr>
        <w:rPr>
          <w:rFonts w:cs="Arial"/>
        </w:rPr>
      </w:pPr>
      <w:r w:rsidRPr="00310690">
        <w:rPr>
          <w:rFonts w:cs="Arial"/>
        </w:rPr>
        <w:tab/>
      </w:r>
      <w:r w:rsidRPr="00310690">
        <w:rPr>
          <w:rFonts w:cs="Arial"/>
        </w:rPr>
        <w:tab/>
      </w:r>
      <w:r w:rsidRPr="00310690">
        <w:rPr>
          <w:rFonts w:cs="Arial"/>
        </w:rPr>
        <w:tab/>
      </w:r>
      <w:r w:rsidRPr="00310690">
        <w:rPr>
          <w:rFonts w:cs="Arial"/>
        </w:rPr>
        <w:tab/>
      </w:r>
      <w:r w:rsidRPr="00310690">
        <w:rPr>
          <w:rFonts w:cs="Arial"/>
        </w:rPr>
        <w:tab/>
      </w:r>
      <w:r w:rsidR="000F76D6" w:rsidRPr="00310690">
        <w:rPr>
          <w:rFonts w:cs="Arial"/>
        </w:rPr>
        <w:t>NAČELNICA ODJELA ZA ODNOSE S JAVNOŠĆU</w:t>
      </w:r>
    </w:p>
    <w:p w:rsidR="000F76D6" w:rsidRPr="00310690" w:rsidRDefault="000F76D6" w:rsidP="000F76D6">
      <w:pPr>
        <w:rPr>
          <w:rFonts w:cs="Arial"/>
        </w:rPr>
      </w:pPr>
      <w:r w:rsidRPr="00310690">
        <w:rPr>
          <w:rFonts w:cs="Arial"/>
        </w:rPr>
        <w:tab/>
      </w:r>
      <w:r w:rsidRPr="00310690">
        <w:rPr>
          <w:rFonts w:cs="Arial"/>
        </w:rPr>
        <w:tab/>
      </w:r>
      <w:r w:rsidRPr="00310690">
        <w:rPr>
          <w:rFonts w:cs="Arial"/>
        </w:rPr>
        <w:tab/>
      </w:r>
      <w:r w:rsidRPr="00310690">
        <w:rPr>
          <w:rFonts w:cs="Arial"/>
        </w:rPr>
        <w:tab/>
      </w:r>
      <w:r w:rsidRPr="00310690">
        <w:rPr>
          <w:rFonts w:cs="Arial"/>
        </w:rPr>
        <w:tab/>
      </w:r>
      <w:r w:rsidRPr="00310690">
        <w:rPr>
          <w:rFonts w:cs="Arial"/>
        </w:rPr>
        <w:tab/>
      </w:r>
    </w:p>
    <w:p w:rsidR="000F76D6" w:rsidRPr="00310690" w:rsidRDefault="000F76D6" w:rsidP="000F76D6">
      <w:pPr>
        <w:rPr>
          <w:rFonts w:cs="Arial"/>
        </w:rPr>
      </w:pPr>
      <w:r w:rsidRPr="00310690">
        <w:rPr>
          <w:rFonts w:cs="Arial"/>
        </w:rPr>
        <w:t xml:space="preserve">  </w:t>
      </w:r>
    </w:p>
    <w:p w:rsidR="000F76D6" w:rsidRPr="00310690" w:rsidRDefault="000F76D6" w:rsidP="000F76D6">
      <w:pPr>
        <w:rPr>
          <w:rFonts w:cs="Arial"/>
        </w:rPr>
      </w:pPr>
      <w:r w:rsidRPr="00310690">
        <w:rPr>
          <w:rFonts w:cs="Arial"/>
        </w:rPr>
        <w:tab/>
      </w:r>
      <w:r w:rsidRPr="00310690">
        <w:rPr>
          <w:rFonts w:cs="Arial"/>
        </w:rPr>
        <w:tab/>
      </w:r>
      <w:r w:rsidRPr="00310690">
        <w:rPr>
          <w:rFonts w:cs="Arial"/>
        </w:rPr>
        <w:tab/>
      </w:r>
      <w:r w:rsidRPr="00310690">
        <w:rPr>
          <w:rFonts w:cs="Arial"/>
        </w:rPr>
        <w:tab/>
      </w:r>
      <w:r w:rsidRPr="00310690">
        <w:rPr>
          <w:rFonts w:cs="Arial"/>
        </w:rPr>
        <w:tab/>
      </w:r>
      <w:r w:rsidRPr="00310690">
        <w:rPr>
          <w:rFonts w:cs="Arial"/>
        </w:rPr>
        <w:tab/>
        <w:t xml:space="preserve">    Josipa Maraković, dipl. </w:t>
      </w:r>
      <w:proofErr w:type="spellStart"/>
      <w:r w:rsidRPr="00310690">
        <w:rPr>
          <w:rFonts w:cs="Arial"/>
        </w:rPr>
        <w:t>oec</w:t>
      </w:r>
      <w:proofErr w:type="spellEnd"/>
      <w:r w:rsidRPr="00310690">
        <w:rPr>
          <w:rFonts w:cs="Arial"/>
        </w:rPr>
        <w:t>.</w:t>
      </w:r>
      <w:r w:rsidR="00D871F8">
        <w:rPr>
          <w:rFonts w:cs="Arial"/>
        </w:rPr>
        <w:t>, v. r.</w:t>
      </w:r>
    </w:p>
    <w:p w:rsidR="000F76D6" w:rsidRPr="00310690" w:rsidRDefault="000F76D6" w:rsidP="000F76D6">
      <w:pPr>
        <w:rPr>
          <w:rFonts w:cs="Arial"/>
        </w:rPr>
      </w:pPr>
    </w:p>
    <w:p w:rsidR="007B0CC0" w:rsidRPr="00310690" w:rsidRDefault="007B0CC0" w:rsidP="000F76D6">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C02635" w:rsidRPr="00310690" w:rsidRDefault="00C02635" w:rsidP="009270F2">
      <w:pPr>
        <w:rPr>
          <w:rFonts w:cs="Arial"/>
        </w:rPr>
      </w:pPr>
    </w:p>
    <w:p w:rsidR="001737C0" w:rsidRPr="00310690" w:rsidRDefault="001737C0" w:rsidP="009270F2">
      <w:pPr>
        <w:rPr>
          <w:rFonts w:cs="Arial"/>
        </w:rPr>
      </w:pPr>
    </w:p>
    <w:p w:rsidR="001737C0" w:rsidRDefault="001737C0" w:rsidP="009270F2">
      <w:pPr>
        <w:rPr>
          <w:rFonts w:cs="Arial"/>
        </w:rPr>
      </w:pPr>
    </w:p>
    <w:p w:rsidR="002975CB" w:rsidRPr="00310690" w:rsidRDefault="002975CB" w:rsidP="009270F2">
      <w:pPr>
        <w:rPr>
          <w:rFonts w:cs="Arial"/>
        </w:rPr>
      </w:pPr>
    </w:p>
    <w:p w:rsidR="001737C0" w:rsidRPr="00310690" w:rsidRDefault="001737C0" w:rsidP="009270F2">
      <w:pPr>
        <w:rPr>
          <w:rFonts w:cs="Arial"/>
        </w:rPr>
      </w:pPr>
    </w:p>
    <w:p w:rsidR="004D0529" w:rsidRDefault="004D0529" w:rsidP="00B22537">
      <w:pPr>
        <w:jc w:val="left"/>
        <w:rPr>
          <w:rFonts w:cs="Arial"/>
        </w:rPr>
      </w:pPr>
    </w:p>
    <w:p w:rsidR="00B22537" w:rsidRPr="00310690" w:rsidRDefault="00B22537" w:rsidP="00B22537">
      <w:pPr>
        <w:jc w:val="left"/>
        <w:rPr>
          <w:rFonts w:cs="Arial"/>
          <w:sz w:val="22"/>
          <w:szCs w:val="22"/>
        </w:rPr>
      </w:pPr>
      <w:r w:rsidRPr="00310690">
        <w:rPr>
          <w:rFonts w:cs="Arial"/>
          <w:sz w:val="22"/>
          <w:szCs w:val="22"/>
          <w:u w:val="single"/>
        </w:rPr>
        <w:t>Privitak:</w:t>
      </w:r>
      <w:r w:rsidRPr="00310690">
        <w:rPr>
          <w:rFonts w:cs="Arial"/>
          <w:sz w:val="22"/>
          <w:szCs w:val="22"/>
        </w:rPr>
        <w:t xml:space="preserve"> </w:t>
      </w:r>
    </w:p>
    <w:p w:rsidR="00B22537" w:rsidRPr="00310690" w:rsidRDefault="00B22537" w:rsidP="00B22537">
      <w:pPr>
        <w:jc w:val="left"/>
        <w:rPr>
          <w:rFonts w:cs="Arial"/>
          <w:sz w:val="22"/>
          <w:szCs w:val="22"/>
        </w:rPr>
      </w:pPr>
      <w:r w:rsidRPr="00310690">
        <w:rPr>
          <w:rFonts w:cs="Arial"/>
          <w:sz w:val="22"/>
          <w:szCs w:val="22"/>
        </w:rPr>
        <w:t xml:space="preserve">Izražena mišljenja u izvješćima o obavljenoj reviziji dostavljenima Hrvatskom saboru </w:t>
      </w:r>
      <w:r w:rsidR="000F76D6" w:rsidRPr="00310690">
        <w:rPr>
          <w:rFonts w:cs="Arial"/>
          <w:sz w:val="22"/>
          <w:szCs w:val="22"/>
        </w:rPr>
        <w:t>20</w:t>
      </w:r>
      <w:r w:rsidRPr="00310690">
        <w:rPr>
          <w:rFonts w:cs="Arial"/>
          <w:sz w:val="22"/>
          <w:szCs w:val="22"/>
        </w:rPr>
        <w:t>. prosinca 202</w:t>
      </w:r>
      <w:r w:rsidR="000F76D6" w:rsidRPr="00310690">
        <w:rPr>
          <w:rFonts w:cs="Arial"/>
          <w:sz w:val="22"/>
          <w:szCs w:val="22"/>
        </w:rPr>
        <w:t>3</w:t>
      </w:r>
      <w:r w:rsidRPr="00310690">
        <w:rPr>
          <w:rFonts w:cs="Arial"/>
          <w:sz w:val="22"/>
          <w:szCs w:val="22"/>
        </w:rPr>
        <w:t>.</w:t>
      </w:r>
    </w:p>
    <w:p w:rsidR="00B22537" w:rsidRPr="00310690" w:rsidRDefault="00B22537" w:rsidP="00B22537">
      <w:pPr>
        <w:jc w:val="left"/>
        <w:rPr>
          <w:rFonts w:cs="Arial"/>
          <w:sz w:val="22"/>
          <w:szCs w:val="22"/>
        </w:rPr>
      </w:pPr>
    </w:p>
    <w:p w:rsidR="00B22537" w:rsidRPr="00310690" w:rsidRDefault="00B22537" w:rsidP="00B22537">
      <w:pPr>
        <w:jc w:val="left"/>
        <w:rPr>
          <w:rFonts w:cs="Arial"/>
          <w:sz w:val="22"/>
          <w:szCs w:val="22"/>
        </w:rPr>
      </w:pPr>
    </w:p>
    <w:p w:rsidR="00B22537" w:rsidRPr="00310690" w:rsidRDefault="00B22537" w:rsidP="00B22537">
      <w:pPr>
        <w:rPr>
          <w:rFonts w:cs="Arial"/>
          <w:b/>
          <w:sz w:val="22"/>
          <w:szCs w:val="22"/>
        </w:rPr>
      </w:pPr>
      <w:r w:rsidRPr="00310690">
        <w:rPr>
          <w:rFonts w:cs="Arial"/>
          <w:b/>
          <w:sz w:val="22"/>
          <w:szCs w:val="22"/>
        </w:rPr>
        <w:t xml:space="preserve">FINANCIJSKE REVIZIJE </w:t>
      </w:r>
    </w:p>
    <w:p w:rsidR="00B22537" w:rsidRPr="00310690" w:rsidRDefault="00B22537" w:rsidP="00B22537">
      <w:pPr>
        <w:rPr>
          <w:rFonts w:cs="Arial"/>
          <w:i/>
          <w:sz w:val="22"/>
          <w:szCs w:val="22"/>
        </w:rPr>
      </w:pPr>
      <w:r w:rsidRPr="00310690">
        <w:rPr>
          <w:rFonts w:cs="Arial"/>
          <w:i/>
          <w:sz w:val="22"/>
          <w:szCs w:val="22"/>
        </w:rPr>
        <w:t>(mišljenja: bezuvjetno; uvjetno; suzdržano; nepovoljno)</w:t>
      </w:r>
    </w:p>
    <w:p w:rsidR="00B22537" w:rsidRPr="00310690" w:rsidRDefault="00B22537" w:rsidP="00B22537">
      <w:pPr>
        <w:jc w:val="left"/>
        <w:rPr>
          <w:rFonts w:cs="Arial"/>
          <w:sz w:val="22"/>
          <w:szCs w:val="22"/>
        </w:rPr>
      </w:pPr>
    </w:p>
    <w:p w:rsidR="00AB1756" w:rsidRPr="00310690" w:rsidRDefault="00AB1756" w:rsidP="00B22537">
      <w:pPr>
        <w:jc w:val="left"/>
        <w:rPr>
          <w:rFonts w:cs="Arial"/>
          <w:sz w:val="22"/>
          <w:szCs w:val="22"/>
        </w:rPr>
      </w:pPr>
    </w:p>
    <w:tbl>
      <w:tblPr>
        <w:tblStyle w:val="Reetkatablice"/>
        <w:tblW w:w="0" w:type="auto"/>
        <w:tblInd w:w="0" w:type="dxa"/>
        <w:tblLook w:val="04A0" w:firstRow="1" w:lastRow="0" w:firstColumn="1" w:lastColumn="0" w:noHBand="0" w:noVBand="1"/>
      </w:tblPr>
      <w:tblGrid>
        <w:gridCol w:w="870"/>
        <w:gridCol w:w="5750"/>
        <w:gridCol w:w="1457"/>
        <w:gridCol w:w="1551"/>
      </w:tblGrid>
      <w:tr w:rsidR="00AB1756" w:rsidRPr="00310690" w:rsidTr="00AB1756">
        <w:trPr>
          <w:trHeight w:val="320"/>
          <w:tblHeader/>
        </w:trPr>
        <w:tc>
          <w:tcPr>
            <w:tcW w:w="870" w:type="dxa"/>
            <w:vMerge w:val="restart"/>
            <w:shd w:val="clear" w:color="auto" w:fill="DBE5F1" w:themeFill="accent1" w:themeFillTint="33"/>
            <w:vAlign w:val="center"/>
            <w:hideMark/>
          </w:tcPr>
          <w:p w:rsidR="00AB1756" w:rsidRPr="00310690" w:rsidRDefault="00AB1756" w:rsidP="00AB1756">
            <w:pPr>
              <w:rPr>
                <w:rFonts w:cs="Arial"/>
              </w:rPr>
            </w:pPr>
            <w:r w:rsidRPr="00310690">
              <w:rPr>
                <w:rFonts w:cs="Arial"/>
              </w:rPr>
              <w:t>Redni broj</w:t>
            </w:r>
          </w:p>
        </w:tc>
        <w:tc>
          <w:tcPr>
            <w:tcW w:w="5750" w:type="dxa"/>
            <w:vMerge w:val="restart"/>
            <w:shd w:val="clear" w:color="auto" w:fill="DBE5F1" w:themeFill="accent1" w:themeFillTint="33"/>
            <w:vAlign w:val="center"/>
            <w:hideMark/>
          </w:tcPr>
          <w:p w:rsidR="00AB1756" w:rsidRPr="00310690" w:rsidRDefault="00AB1756" w:rsidP="00AB1756">
            <w:pPr>
              <w:rPr>
                <w:rFonts w:cs="Arial"/>
              </w:rPr>
            </w:pPr>
            <w:r w:rsidRPr="00310690">
              <w:rPr>
                <w:rFonts w:cs="Arial"/>
              </w:rPr>
              <w:t>Naziv subjekta</w:t>
            </w:r>
          </w:p>
        </w:tc>
        <w:tc>
          <w:tcPr>
            <w:tcW w:w="3008" w:type="dxa"/>
            <w:gridSpan w:val="2"/>
            <w:shd w:val="clear" w:color="auto" w:fill="DBE5F1" w:themeFill="accent1" w:themeFillTint="33"/>
            <w:vAlign w:val="center"/>
            <w:hideMark/>
          </w:tcPr>
          <w:p w:rsidR="00AB1756" w:rsidRPr="00310690" w:rsidRDefault="00AB1756" w:rsidP="00AB1756">
            <w:pPr>
              <w:jc w:val="center"/>
              <w:rPr>
                <w:rFonts w:cs="Arial"/>
              </w:rPr>
            </w:pPr>
            <w:r w:rsidRPr="00310690">
              <w:rPr>
                <w:rFonts w:cs="Arial"/>
              </w:rPr>
              <w:t>Mišljenje o</w:t>
            </w:r>
          </w:p>
        </w:tc>
      </w:tr>
      <w:tr w:rsidR="00AB1756" w:rsidRPr="00310690" w:rsidTr="00AB1756">
        <w:trPr>
          <w:trHeight w:val="630"/>
          <w:tblHeader/>
        </w:trPr>
        <w:tc>
          <w:tcPr>
            <w:tcW w:w="870" w:type="dxa"/>
            <w:vMerge/>
            <w:shd w:val="clear" w:color="auto" w:fill="DBE5F1" w:themeFill="accent1" w:themeFillTint="33"/>
            <w:vAlign w:val="center"/>
            <w:hideMark/>
          </w:tcPr>
          <w:p w:rsidR="00AB1756" w:rsidRPr="00310690" w:rsidRDefault="00AB1756" w:rsidP="00AB1756">
            <w:pPr>
              <w:rPr>
                <w:rFonts w:cs="Arial"/>
              </w:rPr>
            </w:pPr>
          </w:p>
        </w:tc>
        <w:tc>
          <w:tcPr>
            <w:tcW w:w="5750" w:type="dxa"/>
            <w:vMerge/>
            <w:shd w:val="clear" w:color="auto" w:fill="DBE5F1" w:themeFill="accent1" w:themeFillTint="33"/>
            <w:vAlign w:val="center"/>
            <w:hideMark/>
          </w:tcPr>
          <w:p w:rsidR="00AB1756" w:rsidRPr="00310690" w:rsidRDefault="00AB1756" w:rsidP="00AB1756">
            <w:pPr>
              <w:rPr>
                <w:rFonts w:cs="Arial"/>
              </w:rPr>
            </w:pPr>
          </w:p>
        </w:tc>
        <w:tc>
          <w:tcPr>
            <w:tcW w:w="1457" w:type="dxa"/>
            <w:shd w:val="clear" w:color="auto" w:fill="DBE5F1" w:themeFill="accent1" w:themeFillTint="33"/>
            <w:vAlign w:val="center"/>
            <w:hideMark/>
          </w:tcPr>
          <w:p w:rsidR="00AB1756" w:rsidRPr="00310690" w:rsidRDefault="00AB1756" w:rsidP="00AB1756">
            <w:pPr>
              <w:jc w:val="center"/>
              <w:rPr>
                <w:rFonts w:cs="Arial"/>
              </w:rPr>
            </w:pPr>
            <w:r w:rsidRPr="00310690">
              <w:rPr>
                <w:rFonts w:cs="Arial"/>
              </w:rPr>
              <w:t>financijskim izvještajima</w:t>
            </w:r>
          </w:p>
        </w:tc>
        <w:tc>
          <w:tcPr>
            <w:tcW w:w="1551" w:type="dxa"/>
            <w:shd w:val="clear" w:color="auto" w:fill="DBE5F1" w:themeFill="accent1" w:themeFillTint="33"/>
            <w:vAlign w:val="center"/>
            <w:hideMark/>
          </w:tcPr>
          <w:p w:rsidR="00AB1756" w:rsidRPr="00310690" w:rsidRDefault="00AB1756" w:rsidP="00AB1756">
            <w:pPr>
              <w:jc w:val="center"/>
              <w:rPr>
                <w:rFonts w:cs="Arial"/>
              </w:rPr>
            </w:pPr>
            <w:r w:rsidRPr="00310690">
              <w:rPr>
                <w:rFonts w:cs="Arial"/>
              </w:rPr>
              <w:t>usklađenosti poslovanja</w:t>
            </w:r>
          </w:p>
        </w:tc>
      </w:tr>
      <w:tr w:rsidR="00AB1756" w:rsidRPr="00310690" w:rsidTr="00AB1756">
        <w:trPr>
          <w:trHeight w:val="412"/>
        </w:trPr>
        <w:tc>
          <w:tcPr>
            <w:tcW w:w="9628" w:type="dxa"/>
            <w:gridSpan w:val="4"/>
            <w:shd w:val="clear" w:color="auto" w:fill="DBE5F1" w:themeFill="accent1" w:themeFillTint="33"/>
            <w:vAlign w:val="center"/>
          </w:tcPr>
          <w:p w:rsidR="00AB1756" w:rsidRPr="00310690" w:rsidRDefault="00AB1756" w:rsidP="00AB1756">
            <w:pPr>
              <w:rPr>
                <w:rFonts w:cs="Arial"/>
              </w:rPr>
            </w:pPr>
            <w:r w:rsidRPr="00310690">
              <w:rPr>
                <w:rFonts w:cs="Arial"/>
              </w:rPr>
              <w:t xml:space="preserve">              Političke stranke</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w:t>
            </w:r>
          </w:p>
        </w:tc>
        <w:tc>
          <w:tcPr>
            <w:tcW w:w="5750" w:type="dxa"/>
            <w:vAlign w:val="center"/>
          </w:tcPr>
          <w:p w:rsidR="00AB1756" w:rsidRPr="00310690" w:rsidRDefault="00AB1756" w:rsidP="00AB1756">
            <w:pPr>
              <w:rPr>
                <w:rFonts w:cs="Arial"/>
              </w:rPr>
            </w:pPr>
            <w:r w:rsidRPr="00310690">
              <w:rPr>
                <w:rFonts w:cs="Arial"/>
              </w:rPr>
              <w:t>Akcija mladih (AM)</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05"/>
        </w:trPr>
        <w:tc>
          <w:tcPr>
            <w:tcW w:w="870" w:type="dxa"/>
            <w:vAlign w:val="center"/>
            <w:hideMark/>
          </w:tcPr>
          <w:p w:rsidR="00AB1756" w:rsidRPr="00310690" w:rsidRDefault="00AB1756" w:rsidP="00AB1756">
            <w:pPr>
              <w:jc w:val="center"/>
              <w:rPr>
                <w:rFonts w:cs="Arial"/>
              </w:rPr>
            </w:pPr>
            <w:r w:rsidRPr="00310690">
              <w:rPr>
                <w:rFonts w:cs="Arial"/>
              </w:rPr>
              <w:t>2.</w:t>
            </w:r>
          </w:p>
        </w:tc>
        <w:tc>
          <w:tcPr>
            <w:tcW w:w="5750" w:type="dxa"/>
            <w:vAlign w:val="center"/>
          </w:tcPr>
          <w:p w:rsidR="00AB1756" w:rsidRPr="00310690" w:rsidRDefault="00AB1756" w:rsidP="00AB1756">
            <w:pPr>
              <w:rPr>
                <w:rFonts w:cs="Arial"/>
              </w:rPr>
            </w:pPr>
            <w:r w:rsidRPr="00310690">
              <w:rPr>
                <w:rFonts w:cs="Arial"/>
              </w:rPr>
              <w:t>Bandić Milan 365 – Stranka rada i solidarnosti (365 Stranka rada i solidarnosti)</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3.</w:t>
            </w:r>
          </w:p>
        </w:tc>
        <w:tc>
          <w:tcPr>
            <w:tcW w:w="5750" w:type="dxa"/>
            <w:vAlign w:val="center"/>
          </w:tcPr>
          <w:p w:rsidR="00AB1756" w:rsidRPr="00310690" w:rsidRDefault="00AB1756" w:rsidP="00AB1756">
            <w:pPr>
              <w:rPr>
                <w:rFonts w:cs="Arial"/>
              </w:rPr>
            </w:pPr>
            <w:r w:rsidRPr="00310690">
              <w:rPr>
                <w:rFonts w:cs="Arial"/>
              </w:rPr>
              <w:t>Blok za Hrvatsku (Blok)</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4.</w:t>
            </w:r>
          </w:p>
        </w:tc>
        <w:tc>
          <w:tcPr>
            <w:tcW w:w="5750" w:type="dxa"/>
            <w:vAlign w:val="center"/>
          </w:tcPr>
          <w:p w:rsidR="00AB1756" w:rsidRPr="00310690" w:rsidRDefault="00AB1756" w:rsidP="00AB1756">
            <w:pPr>
              <w:rPr>
                <w:rFonts w:cs="Arial"/>
              </w:rPr>
            </w:pPr>
            <w:r w:rsidRPr="00310690">
              <w:rPr>
                <w:rFonts w:cs="Arial"/>
              </w:rPr>
              <w:t>Centar</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5.</w:t>
            </w:r>
          </w:p>
        </w:tc>
        <w:tc>
          <w:tcPr>
            <w:tcW w:w="5750" w:type="dxa"/>
            <w:vAlign w:val="center"/>
          </w:tcPr>
          <w:p w:rsidR="00AB1756" w:rsidRPr="00310690" w:rsidRDefault="00AB1756" w:rsidP="00AB1756">
            <w:pPr>
              <w:rPr>
                <w:rFonts w:cs="Arial"/>
              </w:rPr>
            </w:pPr>
            <w:r w:rsidRPr="00310690">
              <w:rPr>
                <w:rFonts w:cs="Arial"/>
              </w:rPr>
              <w:t xml:space="preserve">Damir </w:t>
            </w:r>
            <w:proofErr w:type="spellStart"/>
            <w:r w:rsidRPr="00310690">
              <w:rPr>
                <w:rFonts w:cs="Arial"/>
              </w:rPr>
              <w:t>Bajs</w:t>
            </w:r>
            <w:proofErr w:type="spellEnd"/>
            <w:r w:rsidRPr="00310690">
              <w:rPr>
                <w:rFonts w:cs="Arial"/>
              </w:rPr>
              <w:t xml:space="preserve"> Nezavisna lista (Damir </w:t>
            </w:r>
            <w:proofErr w:type="spellStart"/>
            <w:r w:rsidRPr="00310690">
              <w:rPr>
                <w:rFonts w:cs="Arial"/>
              </w:rPr>
              <w:t>Bajs</w:t>
            </w:r>
            <w:proofErr w:type="spellEnd"/>
            <w:r w:rsidRPr="00310690">
              <w:rPr>
                <w:rFonts w:cs="Arial"/>
              </w:rPr>
              <w:t xml:space="preserve"> NL)</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6.</w:t>
            </w:r>
          </w:p>
        </w:tc>
        <w:tc>
          <w:tcPr>
            <w:tcW w:w="5750" w:type="dxa"/>
            <w:vAlign w:val="center"/>
          </w:tcPr>
          <w:p w:rsidR="00AB1756" w:rsidRPr="00310690" w:rsidRDefault="00AB1756" w:rsidP="00AB1756">
            <w:pPr>
              <w:rPr>
                <w:rFonts w:cs="Arial"/>
              </w:rPr>
            </w:pPr>
            <w:r w:rsidRPr="00310690">
              <w:rPr>
                <w:rFonts w:cs="Arial"/>
              </w:rPr>
              <w:t>Demokratski HSS (DHSS)</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7.</w:t>
            </w:r>
          </w:p>
        </w:tc>
        <w:tc>
          <w:tcPr>
            <w:tcW w:w="5750" w:type="dxa"/>
            <w:vAlign w:val="center"/>
          </w:tcPr>
          <w:p w:rsidR="00AB1756" w:rsidRPr="00310690" w:rsidRDefault="00AB1756" w:rsidP="00AB1756">
            <w:pPr>
              <w:rPr>
                <w:rFonts w:cs="Arial"/>
              </w:rPr>
            </w:pPr>
            <w:r w:rsidRPr="00310690">
              <w:rPr>
                <w:rFonts w:cs="Arial"/>
              </w:rPr>
              <w:t>Domovinski pokret (DP)</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8.</w:t>
            </w:r>
          </w:p>
        </w:tc>
        <w:tc>
          <w:tcPr>
            <w:tcW w:w="5750" w:type="dxa"/>
            <w:vAlign w:val="center"/>
          </w:tcPr>
          <w:p w:rsidR="00AB1756" w:rsidRPr="00310690" w:rsidRDefault="00AB1756" w:rsidP="00AB1756">
            <w:pPr>
              <w:rPr>
                <w:rFonts w:cs="Arial"/>
              </w:rPr>
            </w:pPr>
            <w:r w:rsidRPr="00310690">
              <w:rPr>
                <w:rFonts w:cs="Arial"/>
              </w:rPr>
              <w:t>Dubrovačka stranka (DUSTRA)</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9.</w:t>
            </w:r>
          </w:p>
        </w:tc>
        <w:tc>
          <w:tcPr>
            <w:tcW w:w="5750" w:type="dxa"/>
            <w:vAlign w:val="center"/>
          </w:tcPr>
          <w:p w:rsidR="00AB1756" w:rsidRPr="00310690" w:rsidRDefault="00AB1756" w:rsidP="00AB1756">
            <w:pPr>
              <w:rPr>
                <w:rFonts w:cs="Arial"/>
              </w:rPr>
            </w:pPr>
            <w:r w:rsidRPr="00310690">
              <w:rPr>
                <w:rFonts w:cs="Arial"/>
              </w:rPr>
              <w:t>Dubrovački demokratski sabor (DDS)</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10.</w:t>
            </w:r>
          </w:p>
        </w:tc>
        <w:tc>
          <w:tcPr>
            <w:tcW w:w="5750" w:type="dxa"/>
            <w:vAlign w:val="center"/>
          </w:tcPr>
          <w:p w:rsidR="00AB1756" w:rsidRPr="00310690" w:rsidRDefault="00AB1756" w:rsidP="00AB1756">
            <w:pPr>
              <w:rPr>
                <w:rFonts w:cs="Arial"/>
              </w:rPr>
            </w:pPr>
            <w:r w:rsidRPr="00310690">
              <w:rPr>
                <w:rFonts w:cs="Arial"/>
              </w:rPr>
              <w:t>Duspara Mirko – Nezavisna lista (Duspara Mirko – NL)</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11.</w:t>
            </w:r>
          </w:p>
        </w:tc>
        <w:tc>
          <w:tcPr>
            <w:tcW w:w="5750" w:type="dxa"/>
            <w:vAlign w:val="center"/>
          </w:tcPr>
          <w:p w:rsidR="00AB1756" w:rsidRPr="00310690" w:rsidRDefault="00AB1756" w:rsidP="00AB1756">
            <w:pPr>
              <w:rPr>
                <w:rFonts w:cs="Arial"/>
              </w:rPr>
            </w:pPr>
            <w:r w:rsidRPr="00310690">
              <w:rPr>
                <w:rFonts w:cs="Arial"/>
              </w:rPr>
              <w:t>Fokus</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12.</w:t>
            </w:r>
          </w:p>
        </w:tc>
        <w:tc>
          <w:tcPr>
            <w:tcW w:w="5750" w:type="dxa"/>
            <w:vAlign w:val="center"/>
          </w:tcPr>
          <w:p w:rsidR="00AB1756" w:rsidRPr="00310690" w:rsidRDefault="00AB1756" w:rsidP="00AB1756">
            <w:pPr>
              <w:rPr>
                <w:rFonts w:cs="Arial"/>
              </w:rPr>
            </w:pPr>
            <w:r w:rsidRPr="00310690">
              <w:rPr>
                <w:rFonts w:cs="Arial"/>
              </w:rPr>
              <w:t>Građansko-liberalni savez (Glas)</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13.</w:t>
            </w:r>
          </w:p>
        </w:tc>
        <w:tc>
          <w:tcPr>
            <w:tcW w:w="5750" w:type="dxa"/>
            <w:vAlign w:val="center"/>
          </w:tcPr>
          <w:p w:rsidR="00AB1756" w:rsidRPr="00310690" w:rsidRDefault="00AB1756" w:rsidP="00AB1756">
            <w:pPr>
              <w:rPr>
                <w:rFonts w:cs="Arial"/>
              </w:rPr>
            </w:pPr>
            <w:r w:rsidRPr="00310690">
              <w:rPr>
                <w:rFonts w:cs="Arial"/>
              </w:rPr>
              <w:t>HRAST – Pokret za uspješnu Hrvatsku</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14.</w:t>
            </w:r>
          </w:p>
        </w:tc>
        <w:tc>
          <w:tcPr>
            <w:tcW w:w="5750" w:type="dxa"/>
            <w:vAlign w:val="center"/>
          </w:tcPr>
          <w:p w:rsidR="00AB1756" w:rsidRPr="00310690" w:rsidRDefault="00AB1756" w:rsidP="00AB1756">
            <w:pPr>
              <w:rPr>
                <w:rFonts w:cs="Arial"/>
              </w:rPr>
            </w:pPr>
            <w:r w:rsidRPr="00310690">
              <w:rPr>
                <w:rFonts w:cs="Arial"/>
              </w:rPr>
              <w:t xml:space="preserve">Hrvatska demokratska zajednica (HDZ) </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15.</w:t>
            </w:r>
          </w:p>
        </w:tc>
        <w:tc>
          <w:tcPr>
            <w:tcW w:w="5750" w:type="dxa"/>
            <w:vAlign w:val="center"/>
          </w:tcPr>
          <w:p w:rsidR="00AB1756" w:rsidRPr="00310690" w:rsidRDefault="00AB1756" w:rsidP="00AB1756">
            <w:pPr>
              <w:rPr>
                <w:rFonts w:cs="Arial"/>
              </w:rPr>
            </w:pPr>
            <w:r w:rsidRPr="00310690">
              <w:rPr>
                <w:rFonts w:cs="Arial"/>
              </w:rPr>
              <w:t xml:space="preserve">Hrvatska demokršćanska stranka (HDS) </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16.</w:t>
            </w:r>
          </w:p>
        </w:tc>
        <w:tc>
          <w:tcPr>
            <w:tcW w:w="5750" w:type="dxa"/>
            <w:vAlign w:val="center"/>
          </w:tcPr>
          <w:p w:rsidR="00AB1756" w:rsidRPr="00310690" w:rsidRDefault="00AB1756" w:rsidP="00AB1756">
            <w:pPr>
              <w:rPr>
                <w:rFonts w:cs="Arial"/>
              </w:rPr>
            </w:pPr>
            <w:r w:rsidRPr="00310690">
              <w:rPr>
                <w:rFonts w:cs="Arial"/>
              </w:rPr>
              <w:t>Hrvatska konzervativna stranka (HKS)</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17.</w:t>
            </w:r>
          </w:p>
        </w:tc>
        <w:tc>
          <w:tcPr>
            <w:tcW w:w="5750" w:type="dxa"/>
            <w:vAlign w:val="center"/>
          </w:tcPr>
          <w:p w:rsidR="00AB1756" w:rsidRPr="00310690" w:rsidRDefault="00AB1756" w:rsidP="00AB1756">
            <w:pPr>
              <w:rPr>
                <w:rFonts w:cs="Arial"/>
              </w:rPr>
            </w:pPr>
            <w:r w:rsidRPr="00310690">
              <w:rPr>
                <w:rFonts w:cs="Arial"/>
              </w:rPr>
              <w:t xml:space="preserve">Hrvatska narodna stranka – liberalni demokrati (HNS) </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18.</w:t>
            </w:r>
          </w:p>
        </w:tc>
        <w:tc>
          <w:tcPr>
            <w:tcW w:w="5750" w:type="dxa"/>
            <w:vAlign w:val="center"/>
          </w:tcPr>
          <w:p w:rsidR="00AB1756" w:rsidRPr="00310690" w:rsidRDefault="00AB1756" w:rsidP="00AB1756">
            <w:pPr>
              <w:rPr>
                <w:rFonts w:cs="Arial"/>
              </w:rPr>
            </w:pPr>
            <w:r w:rsidRPr="00310690">
              <w:rPr>
                <w:rFonts w:cs="Arial"/>
              </w:rPr>
              <w:t>Hrvatska seljačka stranka (HSS)</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19.</w:t>
            </w:r>
          </w:p>
        </w:tc>
        <w:tc>
          <w:tcPr>
            <w:tcW w:w="5750" w:type="dxa"/>
            <w:vAlign w:val="center"/>
          </w:tcPr>
          <w:p w:rsidR="00AB1756" w:rsidRPr="00310690" w:rsidRDefault="00AB1756" w:rsidP="00AB1756">
            <w:pPr>
              <w:rPr>
                <w:rFonts w:cs="Arial"/>
              </w:rPr>
            </w:pPr>
            <w:r w:rsidRPr="00310690">
              <w:rPr>
                <w:rFonts w:cs="Arial"/>
              </w:rPr>
              <w:t>Hrvatska socijalno-liberalna stranka (HSLS)</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hideMark/>
          </w:tcPr>
          <w:p w:rsidR="00AB1756" w:rsidRPr="00310690" w:rsidRDefault="00AB1756" w:rsidP="00AB1756">
            <w:pPr>
              <w:jc w:val="center"/>
              <w:rPr>
                <w:rFonts w:cs="Arial"/>
              </w:rPr>
            </w:pPr>
            <w:r w:rsidRPr="00310690">
              <w:rPr>
                <w:rFonts w:cs="Arial"/>
              </w:rPr>
              <w:t>20.</w:t>
            </w:r>
          </w:p>
        </w:tc>
        <w:tc>
          <w:tcPr>
            <w:tcW w:w="5750" w:type="dxa"/>
            <w:vAlign w:val="center"/>
          </w:tcPr>
          <w:p w:rsidR="00AB1756" w:rsidRPr="00310690" w:rsidRDefault="00AB1756" w:rsidP="00AB1756">
            <w:pPr>
              <w:rPr>
                <w:rFonts w:cs="Arial"/>
              </w:rPr>
            </w:pPr>
            <w:r w:rsidRPr="00310690">
              <w:rPr>
                <w:rFonts w:cs="Arial"/>
              </w:rPr>
              <w:t>Hrvatska stranka prava (HSP)</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21.</w:t>
            </w:r>
          </w:p>
        </w:tc>
        <w:tc>
          <w:tcPr>
            <w:tcW w:w="5750" w:type="dxa"/>
            <w:vAlign w:val="center"/>
          </w:tcPr>
          <w:p w:rsidR="00AB1756" w:rsidRPr="00310690" w:rsidRDefault="00AB1756" w:rsidP="00AB1756">
            <w:pPr>
              <w:rPr>
                <w:rFonts w:cs="Arial"/>
              </w:rPr>
            </w:pPr>
            <w:r w:rsidRPr="00310690">
              <w:rPr>
                <w:rFonts w:cs="Arial"/>
              </w:rPr>
              <w:t>Hrvatska stranka umirovljenika (HSU)</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22.</w:t>
            </w:r>
          </w:p>
        </w:tc>
        <w:tc>
          <w:tcPr>
            <w:tcW w:w="5750" w:type="dxa"/>
            <w:vAlign w:val="center"/>
          </w:tcPr>
          <w:p w:rsidR="00AB1756" w:rsidRPr="00310690" w:rsidRDefault="00AB1756" w:rsidP="00AB1756">
            <w:pPr>
              <w:rPr>
                <w:rFonts w:cs="Arial"/>
              </w:rPr>
            </w:pPr>
            <w:r w:rsidRPr="00310690">
              <w:rPr>
                <w:rFonts w:cs="Arial"/>
              </w:rPr>
              <w:t>Hrvatski demokratski savez Slavonije i Baranje (HDSSB)</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23.</w:t>
            </w:r>
          </w:p>
        </w:tc>
        <w:tc>
          <w:tcPr>
            <w:tcW w:w="5750" w:type="dxa"/>
            <w:vAlign w:val="center"/>
          </w:tcPr>
          <w:p w:rsidR="00AB1756" w:rsidRPr="00310690" w:rsidRDefault="00AB1756" w:rsidP="00AB1756">
            <w:pPr>
              <w:rPr>
                <w:rFonts w:cs="Arial"/>
              </w:rPr>
            </w:pPr>
            <w:r w:rsidRPr="00310690">
              <w:rPr>
                <w:rFonts w:cs="Arial"/>
              </w:rPr>
              <w:t xml:space="preserve">Hrvatski </w:t>
            </w:r>
            <w:proofErr w:type="spellStart"/>
            <w:r w:rsidRPr="00310690">
              <w:rPr>
                <w:rFonts w:cs="Arial"/>
              </w:rPr>
              <w:t>suverenisti</w:t>
            </w:r>
            <w:proofErr w:type="spellEnd"/>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24.</w:t>
            </w:r>
          </w:p>
        </w:tc>
        <w:tc>
          <w:tcPr>
            <w:tcW w:w="5750" w:type="dxa"/>
            <w:vAlign w:val="center"/>
          </w:tcPr>
          <w:p w:rsidR="00AB1756" w:rsidRPr="00310690" w:rsidRDefault="00AB1756" w:rsidP="00AB1756">
            <w:pPr>
              <w:rPr>
                <w:rFonts w:cs="Arial"/>
              </w:rPr>
            </w:pPr>
            <w:r w:rsidRPr="00310690">
              <w:rPr>
                <w:rFonts w:cs="Arial"/>
              </w:rPr>
              <w:t xml:space="preserve">Istarska stranka umirovljenika – </w:t>
            </w:r>
            <w:proofErr w:type="spellStart"/>
            <w:r w:rsidRPr="00310690">
              <w:rPr>
                <w:rFonts w:cs="Arial"/>
              </w:rPr>
              <w:t>Partito</w:t>
            </w:r>
            <w:proofErr w:type="spellEnd"/>
            <w:r w:rsidRPr="00310690">
              <w:rPr>
                <w:rFonts w:cs="Arial"/>
              </w:rPr>
              <w:t xml:space="preserve"> </w:t>
            </w:r>
            <w:proofErr w:type="spellStart"/>
            <w:r w:rsidRPr="00310690">
              <w:rPr>
                <w:rFonts w:cs="Arial"/>
              </w:rPr>
              <w:t>Istriano</w:t>
            </w:r>
            <w:proofErr w:type="spellEnd"/>
            <w:r w:rsidRPr="00310690">
              <w:rPr>
                <w:rFonts w:cs="Arial"/>
              </w:rPr>
              <w:t xml:space="preserve"> </w:t>
            </w:r>
            <w:proofErr w:type="spellStart"/>
            <w:r w:rsidRPr="00310690">
              <w:rPr>
                <w:rFonts w:cs="Arial"/>
              </w:rPr>
              <w:t>dei</w:t>
            </w:r>
            <w:proofErr w:type="spellEnd"/>
            <w:r w:rsidRPr="00310690">
              <w:rPr>
                <w:rFonts w:cs="Arial"/>
              </w:rPr>
              <w:t xml:space="preserve"> </w:t>
            </w:r>
            <w:proofErr w:type="spellStart"/>
            <w:r w:rsidRPr="00310690">
              <w:rPr>
                <w:rFonts w:cs="Arial"/>
              </w:rPr>
              <w:t>pensionati</w:t>
            </w:r>
            <w:proofErr w:type="spellEnd"/>
            <w:r w:rsidRPr="00310690">
              <w:rPr>
                <w:rFonts w:cs="Arial"/>
              </w:rPr>
              <w:t xml:space="preserve"> (ISU – PIP)</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25.</w:t>
            </w:r>
          </w:p>
        </w:tc>
        <w:tc>
          <w:tcPr>
            <w:tcW w:w="5750" w:type="dxa"/>
            <w:vAlign w:val="center"/>
          </w:tcPr>
          <w:p w:rsidR="00AB1756" w:rsidRPr="00310690" w:rsidRDefault="00AB1756" w:rsidP="00AB1756">
            <w:pPr>
              <w:rPr>
                <w:rFonts w:cs="Arial"/>
              </w:rPr>
            </w:pPr>
            <w:r w:rsidRPr="00310690">
              <w:rPr>
                <w:rFonts w:cs="Arial"/>
              </w:rPr>
              <w:t>Istarski demokratski sabor (IDS)</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26.</w:t>
            </w:r>
          </w:p>
        </w:tc>
        <w:tc>
          <w:tcPr>
            <w:tcW w:w="5750" w:type="dxa"/>
            <w:vAlign w:val="center"/>
          </w:tcPr>
          <w:p w:rsidR="00AB1756" w:rsidRPr="00310690" w:rsidRDefault="00AB1756" w:rsidP="00AB1756">
            <w:pPr>
              <w:rPr>
                <w:rFonts w:cs="Arial"/>
              </w:rPr>
            </w:pPr>
            <w:r w:rsidRPr="00310690">
              <w:rPr>
                <w:rFonts w:cs="Arial"/>
              </w:rPr>
              <w:t>Ključ Hrvatske (Ključ)</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27.</w:t>
            </w:r>
          </w:p>
        </w:tc>
        <w:tc>
          <w:tcPr>
            <w:tcW w:w="5750" w:type="dxa"/>
            <w:vAlign w:val="center"/>
          </w:tcPr>
          <w:p w:rsidR="00AB1756" w:rsidRPr="00310690" w:rsidRDefault="00AB1756" w:rsidP="00AB1756">
            <w:pPr>
              <w:rPr>
                <w:rFonts w:cs="Arial"/>
              </w:rPr>
            </w:pPr>
            <w:proofErr w:type="spellStart"/>
            <w:r w:rsidRPr="00310690">
              <w:rPr>
                <w:rFonts w:cs="Arial"/>
              </w:rPr>
              <w:t>LiPO</w:t>
            </w:r>
            <w:proofErr w:type="spellEnd"/>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28.</w:t>
            </w:r>
          </w:p>
        </w:tc>
        <w:tc>
          <w:tcPr>
            <w:tcW w:w="5750" w:type="dxa"/>
            <w:vAlign w:val="center"/>
          </w:tcPr>
          <w:p w:rsidR="00AB1756" w:rsidRPr="00310690" w:rsidRDefault="00AB1756" w:rsidP="00AB1756">
            <w:pPr>
              <w:rPr>
                <w:rFonts w:cs="Arial"/>
              </w:rPr>
            </w:pPr>
            <w:r w:rsidRPr="00310690">
              <w:rPr>
                <w:rFonts w:cs="Arial"/>
              </w:rPr>
              <w:t>Most</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29.</w:t>
            </w:r>
          </w:p>
        </w:tc>
        <w:tc>
          <w:tcPr>
            <w:tcW w:w="5750" w:type="dxa"/>
            <w:vAlign w:val="center"/>
          </w:tcPr>
          <w:p w:rsidR="00AB1756" w:rsidRPr="00310690" w:rsidRDefault="00AB1756" w:rsidP="00AB1756">
            <w:pPr>
              <w:rPr>
                <w:rFonts w:cs="Arial"/>
              </w:rPr>
            </w:pPr>
            <w:r w:rsidRPr="00310690">
              <w:rPr>
                <w:rFonts w:cs="Arial"/>
              </w:rPr>
              <w:t>Možemo! – politička platforma (Možemo!)</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30.</w:t>
            </w:r>
          </w:p>
        </w:tc>
        <w:tc>
          <w:tcPr>
            <w:tcW w:w="5750" w:type="dxa"/>
            <w:vAlign w:val="center"/>
          </w:tcPr>
          <w:p w:rsidR="00AB1756" w:rsidRPr="00310690" w:rsidRDefault="00AB1756" w:rsidP="00AB1756">
            <w:pPr>
              <w:rPr>
                <w:rFonts w:cs="Arial"/>
              </w:rPr>
            </w:pPr>
            <w:r w:rsidRPr="00310690">
              <w:rPr>
                <w:rFonts w:cs="Arial"/>
              </w:rPr>
              <w:t>Narodna stranka – REFORMISTI (REFORMISTI)</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31.</w:t>
            </w:r>
          </w:p>
        </w:tc>
        <w:tc>
          <w:tcPr>
            <w:tcW w:w="5750" w:type="dxa"/>
            <w:vAlign w:val="center"/>
          </w:tcPr>
          <w:p w:rsidR="00AB1756" w:rsidRPr="00310690" w:rsidRDefault="00AB1756" w:rsidP="00AB1756">
            <w:pPr>
              <w:rPr>
                <w:rFonts w:cs="Arial"/>
              </w:rPr>
            </w:pPr>
            <w:r w:rsidRPr="00310690">
              <w:rPr>
                <w:rFonts w:cs="Arial"/>
              </w:rPr>
              <w:t>Nezavisna lista mladih (NLM)</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32.</w:t>
            </w:r>
          </w:p>
        </w:tc>
        <w:tc>
          <w:tcPr>
            <w:tcW w:w="5750" w:type="dxa"/>
            <w:vAlign w:val="center"/>
          </w:tcPr>
          <w:p w:rsidR="00AB1756" w:rsidRPr="00310690" w:rsidRDefault="00AB1756" w:rsidP="00AB1756">
            <w:pPr>
              <w:rPr>
                <w:rFonts w:cs="Arial"/>
              </w:rPr>
            </w:pPr>
            <w:r w:rsidRPr="00310690">
              <w:rPr>
                <w:rFonts w:cs="Arial"/>
              </w:rPr>
              <w:t>Nezavisna lista Stipe Petrina (NLSP)</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33.</w:t>
            </w:r>
          </w:p>
        </w:tc>
        <w:tc>
          <w:tcPr>
            <w:tcW w:w="5750" w:type="dxa"/>
            <w:vAlign w:val="center"/>
          </w:tcPr>
          <w:p w:rsidR="00AB1756" w:rsidRPr="00310690" w:rsidRDefault="00AB1756" w:rsidP="00AB1756">
            <w:pPr>
              <w:rPr>
                <w:rFonts w:cs="Arial"/>
              </w:rPr>
            </w:pPr>
            <w:r w:rsidRPr="00310690">
              <w:rPr>
                <w:rFonts w:cs="Arial"/>
              </w:rPr>
              <w:t xml:space="preserve">Nezavisna lista </w:t>
            </w:r>
            <w:proofErr w:type="spellStart"/>
            <w:r w:rsidRPr="00310690">
              <w:rPr>
                <w:rFonts w:cs="Arial"/>
              </w:rPr>
              <w:t>Višnjan</w:t>
            </w:r>
            <w:proofErr w:type="spellEnd"/>
            <w:r w:rsidRPr="00310690">
              <w:rPr>
                <w:rFonts w:cs="Arial"/>
              </w:rPr>
              <w:t xml:space="preserve"> (NLV)</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34.</w:t>
            </w:r>
          </w:p>
        </w:tc>
        <w:tc>
          <w:tcPr>
            <w:tcW w:w="5750" w:type="dxa"/>
            <w:vAlign w:val="center"/>
          </w:tcPr>
          <w:p w:rsidR="00AB1756" w:rsidRPr="00310690" w:rsidRDefault="00AB1756" w:rsidP="00AB1756">
            <w:pPr>
              <w:rPr>
                <w:rFonts w:cs="Arial"/>
              </w:rPr>
            </w:pPr>
            <w:r w:rsidRPr="00310690">
              <w:rPr>
                <w:rFonts w:cs="Arial"/>
              </w:rPr>
              <w:t>Nezavisna platforma sjevera (NPS)</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35.</w:t>
            </w:r>
          </w:p>
        </w:tc>
        <w:tc>
          <w:tcPr>
            <w:tcW w:w="5750" w:type="dxa"/>
            <w:vAlign w:val="center"/>
          </w:tcPr>
          <w:p w:rsidR="00AB1756" w:rsidRPr="00310690" w:rsidRDefault="00AB1756" w:rsidP="00AB1756">
            <w:pPr>
              <w:rPr>
                <w:rFonts w:cs="Arial"/>
              </w:rPr>
            </w:pPr>
            <w:r w:rsidRPr="00310690">
              <w:rPr>
                <w:rFonts w:cs="Arial"/>
              </w:rPr>
              <w:t>Nezavisni</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36.</w:t>
            </w:r>
          </w:p>
        </w:tc>
        <w:tc>
          <w:tcPr>
            <w:tcW w:w="5750" w:type="dxa"/>
            <w:vAlign w:val="center"/>
          </w:tcPr>
          <w:p w:rsidR="00AB1756" w:rsidRPr="00310690" w:rsidRDefault="00AB1756" w:rsidP="00AB1756">
            <w:pPr>
              <w:rPr>
                <w:rFonts w:cs="Arial"/>
              </w:rPr>
            </w:pPr>
            <w:r w:rsidRPr="00310690">
              <w:rPr>
                <w:rFonts w:cs="Arial"/>
              </w:rPr>
              <w:t>Nova ljevica (NL)</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 xml:space="preserve">bezuvjetno </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37.</w:t>
            </w:r>
          </w:p>
        </w:tc>
        <w:tc>
          <w:tcPr>
            <w:tcW w:w="5750" w:type="dxa"/>
            <w:vAlign w:val="center"/>
          </w:tcPr>
          <w:p w:rsidR="00AB1756" w:rsidRPr="00310690" w:rsidRDefault="00AB1756" w:rsidP="00AB1756">
            <w:pPr>
              <w:rPr>
                <w:rFonts w:cs="Arial"/>
              </w:rPr>
            </w:pPr>
            <w:r w:rsidRPr="00310690">
              <w:rPr>
                <w:rFonts w:cs="Arial"/>
              </w:rPr>
              <w:t>Pametno za Split i Dalmaciju</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38.</w:t>
            </w:r>
          </w:p>
        </w:tc>
        <w:tc>
          <w:tcPr>
            <w:tcW w:w="5750" w:type="dxa"/>
            <w:vAlign w:val="center"/>
          </w:tcPr>
          <w:p w:rsidR="00AB1756" w:rsidRPr="00310690" w:rsidRDefault="00AB1756" w:rsidP="00AB1756">
            <w:pPr>
              <w:rPr>
                <w:rFonts w:cs="Arial"/>
              </w:rPr>
            </w:pPr>
            <w:r w:rsidRPr="00310690">
              <w:rPr>
                <w:rFonts w:cs="Arial"/>
              </w:rPr>
              <w:t>Primorsko goranski savez (PGS)</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 xml:space="preserve">bezuvjetno </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39.</w:t>
            </w:r>
          </w:p>
        </w:tc>
        <w:tc>
          <w:tcPr>
            <w:tcW w:w="5750" w:type="dxa"/>
            <w:vAlign w:val="center"/>
          </w:tcPr>
          <w:p w:rsidR="00AB1756" w:rsidRPr="00310690" w:rsidRDefault="00AB1756" w:rsidP="00AB1756">
            <w:pPr>
              <w:rPr>
                <w:rFonts w:cs="Arial"/>
              </w:rPr>
            </w:pPr>
            <w:r w:rsidRPr="00310690">
              <w:rPr>
                <w:rFonts w:cs="Arial"/>
              </w:rPr>
              <w:t>Radnička fronta (RF)</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 xml:space="preserve">bezuvjetno </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40.</w:t>
            </w:r>
          </w:p>
        </w:tc>
        <w:tc>
          <w:tcPr>
            <w:tcW w:w="5750" w:type="dxa"/>
            <w:vAlign w:val="center"/>
          </w:tcPr>
          <w:p w:rsidR="00AB1756" w:rsidRPr="00310690" w:rsidRDefault="00AB1756" w:rsidP="00AB1756">
            <w:pPr>
              <w:rPr>
                <w:rFonts w:cs="Arial"/>
              </w:rPr>
            </w:pPr>
            <w:r w:rsidRPr="00310690">
              <w:rPr>
                <w:rFonts w:cs="Arial"/>
              </w:rPr>
              <w:t>Samostalna demokratska srpska stranka (SDSS)</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41.</w:t>
            </w:r>
          </w:p>
        </w:tc>
        <w:tc>
          <w:tcPr>
            <w:tcW w:w="5750" w:type="dxa"/>
            <w:vAlign w:val="center"/>
          </w:tcPr>
          <w:p w:rsidR="00AB1756" w:rsidRPr="00310690" w:rsidRDefault="00AB1756" w:rsidP="00AB1756">
            <w:pPr>
              <w:rPr>
                <w:rFonts w:cs="Arial"/>
              </w:rPr>
            </w:pPr>
            <w:r w:rsidRPr="00310690">
              <w:rPr>
                <w:rFonts w:cs="Arial"/>
              </w:rPr>
              <w:t>Socijaldemokratska partija Hrvatske (SDP)</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42.</w:t>
            </w:r>
          </w:p>
        </w:tc>
        <w:tc>
          <w:tcPr>
            <w:tcW w:w="5750" w:type="dxa"/>
            <w:vAlign w:val="center"/>
          </w:tcPr>
          <w:p w:rsidR="00AB1756" w:rsidRPr="00310690" w:rsidRDefault="00AB1756" w:rsidP="00AB1756">
            <w:pPr>
              <w:rPr>
                <w:rFonts w:cs="Arial"/>
              </w:rPr>
            </w:pPr>
            <w:proofErr w:type="spellStart"/>
            <w:r w:rsidRPr="00310690">
              <w:rPr>
                <w:rFonts w:cs="Arial"/>
              </w:rPr>
              <w:t>Srđ</w:t>
            </w:r>
            <w:proofErr w:type="spellEnd"/>
            <w:r w:rsidRPr="00310690">
              <w:rPr>
                <w:rFonts w:cs="Arial"/>
              </w:rPr>
              <w:t xml:space="preserve"> je Grad (SJG)</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43.</w:t>
            </w:r>
          </w:p>
        </w:tc>
        <w:tc>
          <w:tcPr>
            <w:tcW w:w="5750" w:type="dxa"/>
            <w:vAlign w:val="center"/>
          </w:tcPr>
          <w:p w:rsidR="00AB1756" w:rsidRPr="00310690" w:rsidRDefault="00AB1756" w:rsidP="00AB1756">
            <w:pPr>
              <w:rPr>
                <w:rFonts w:cs="Arial"/>
              </w:rPr>
            </w:pPr>
            <w:r w:rsidRPr="00310690">
              <w:rPr>
                <w:rFonts w:cs="Arial"/>
              </w:rPr>
              <w:t>Stjepan Kožić – nezavisna lista (SKNL)</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44.</w:t>
            </w:r>
          </w:p>
        </w:tc>
        <w:tc>
          <w:tcPr>
            <w:tcW w:w="5750" w:type="dxa"/>
            <w:vAlign w:val="center"/>
          </w:tcPr>
          <w:p w:rsidR="00AB1756" w:rsidRPr="00310690" w:rsidRDefault="00AB1756" w:rsidP="00AB1756">
            <w:pPr>
              <w:rPr>
                <w:rFonts w:cs="Arial"/>
              </w:rPr>
            </w:pPr>
            <w:r w:rsidRPr="00310690">
              <w:rPr>
                <w:rFonts w:cs="Arial"/>
              </w:rPr>
              <w:t>Stranka demokratske akcije Hrvatske (SDA Hrvatske)</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45.</w:t>
            </w:r>
          </w:p>
        </w:tc>
        <w:tc>
          <w:tcPr>
            <w:tcW w:w="5750" w:type="dxa"/>
            <w:vAlign w:val="center"/>
          </w:tcPr>
          <w:p w:rsidR="00AB1756" w:rsidRPr="00310690" w:rsidRDefault="00AB1756" w:rsidP="00AB1756">
            <w:pPr>
              <w:rPr>
                <w:rFonts w:cs="Arial"/>
              </w:rPr>
            </w:pPr>
            <w:r w:rsidRPr="00310690">
              <w:rPr>
                <w:rFonts w:cs="Arial"/>
              </w:rPr>
              <w:t>Stranka s Imenom i Prezimenom (IP)</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46.</w:t>
            </w:r>
          </w:p>
        </w:tc>
        <w:tc>
          <w:tcPr>
            <w:tcW w:w="5750" w:type="dxa"/>
            <w:vAlign w:val="center"/>
          </w:tcPr>
          <w:p w:rsidR="00AB1756" w:rsidRPr="00310690" w:rsidRDefault="00AB1756" w:rsidP="00AB1756">
            <w:pPr>
              <w:rPr>
                <w:rFonts w:cs="Arial"/>
              </w:rPr>
            </w:pPr>
            <w:r w:rsidRPr="00310690">
              <w:rPr>
                <w:rFonts w:cs="Arial"/>
              </w:rPr>
              <w:t>Unija Kvarnera (UNIJA)</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47.</w:t>
            </w:r>
          </w:p>
        </w:tc>
        <w:tc>
          <w:tcPr>
            <w:tcW w:w="5750" w:type="dxa"/>
            <w:vAlign w:val="center"/>
          </w:tcPr>
          <w:p w:rsidR="00AB1756" w:rsidRPr="00310690" w:rsidRDefault="00AB1756" w:rsidP="00AB1756">
            <w:pPr>
              <w:rPr>
                <w:rFonts w:cs="Arial"/>
              </w:rPr>
            </w:pPr>
            <w:r w:rsidRPr="00310690">
              <w:rPr>
                <w:rFonts w:cs="Arial"/>
              </w:rPr>
              <w:t>Zagreb je naš!</w:t>
            </w:r>
          </w:p>
        </w:tc>
        <w:tc>
          <w:tcPr>
            <w:tcW w:w="1457" w:type="dxa"/>
            <w:vAlign w:val="center"/>
          </w:tcPr>
          <w:p w:rsidR="00AB1756" w:rsidRPr="00310690" w:rsidRDefault="00AB1756" w:rsidP="00AB1756">
            <w:pPr>
              <w:jc w:val="center"/>
              <w:rPr>
                <w:rFonts w:cs="Arial"/>
              </w:rPr>
            </w:pPr>
            <w:r w:rsidRPr="00310690">
              <w:rPr>
                <w:rFonts w:cs="Arial"/>
              </w:rPr>
              <w:t>bezuvjetno</w:t>
            </w:r>
          </w:p>
        </w:tc>
        <w:tc>
          <w:tcPr>
            <w:tcW w:w="1551" w:type="dxa"/>
            <w:vAlign w:val="center"/>
          </w:tcPr>
          <w:p w:rsidR="00AB1756" w:rsidRPr="00310690" w:rsidRDefault="00AB1756" w:rsidP="00AB1756">
            <w:pPr>
              <w:jc w:val="center"/>
              <w:rPr>
                <w:rFonts w:cs="Arial"/>
              </w:rPr>
            </w:pPr>
            <w:r w:rsidRPr="00310690">
              <w:rPr>
                <w:rFonts w:cs="Arial"/>
              </w:rPr>
              <w:t>bezuvjetno</w:t>
            </w:r>
          </w:p>
        </w:tc>
      </w:tr>
      <w:tr w:rsidR="00AB1756" w:rsidRPr="00310690" w:rsidTr="00AB1756">
        <w:trPr>
          <w:trHeight w:val="320"/>
        </w:trPr>
        <w:tc>
          <w:tcPr>
            <w:tcW w:w="870" w:type="dxa"/>
            <w:vAlign w:val="center"/>
          </w:tcPr>
          <w:p w:rsidR="00AB1756" w:rsidRPr="00310690" w:rsidRDefault="00AB1756" w:rsidP="00AB1756">
            <w:pPr>
              <w:jc w:val="center"/>
              <w:rPr>
                <w:rFonts w:cs="Arial"/>
              </w:rPr>
            </w:pPr>
            <w:r w:rsidRPr="00310690">
              <w:rPr>
                <w:rFonts w:cs="Arial"/>
              </w:rPr>
              <w:t>48.</w:t>
            </w:r>
          </w:p>
        </w:tc>
        <w:tc>
          <w:tcPr>
            <w:tcW w:w="5750" w:type="dxa"/>
            <w:vAlign w:val="center"/>
          </w:tcPr>
          <w:p w:rsidR="00AB1756" w:rsidRPr="00310690" w:rsidRDefault="00AB1756" w:rsidP="00AB1756">
            <w:pPr>
              <w:rPr>
                <w:rFonts w:cs="Arial"/>
              </w:rPr>
            </w:pPr>
            <w:r w:rsidRPr="00310690">
              <w:rPr>
                <w:rFonts w:cs="Arial"/>
              </w:rPr>
              <w:t xml:space="preserve">Željko Kerum – Hrvatska građanska stranka (HGS) </w:t>
            </w:r>
          </w:p>
        </w:tc>
        <w:tc>
          <w:tcPr>
            <w:tcW w:w="1457" w:type="dxa"/>
            <w:vAlign w:val="center"/>
          </w:tcPr>
          <w:p w:rsidR="00AB1756" w:rsidRPr="00310690" w:rsidRDefault="00AB1756" w:rsidP="00AB1756">
            <w:pPr>
              <w:jc w:val="center"/>
              <w:rPr>
                <w:rFonts w:cs="Arial"/>
              </w:rPr>
            </w:pPr>
            <w:r w:rsidRPr="00310690">
              <w:rPr>
                <w:rFonts w:cs="Arial"/>
              </w:rPr>
              <w:t>uvjetno</w:t>
            </w:r>
          </w:p>
        </w:tc>
        <w:tc>
          <w:tcPr>
            <w:tcW w:w="1551" w:type="dxa"/>
            <w:vAlign w:val="center"/>
          </w:tcPr>
          <w:p w:rsidR="00AB1756" w:rsidRPr="00310690" w:rsidRDefault="00AB1756" w:rsidP="00AB1756">
            <w:pPr>
              <w:jc w:val="center"/>
              <w:rPr>
                <w:rFonts w:cs="Arial"/>
              </w:rPr>
            </w:pPr>
            <w:r w:rsidRPr="00310690">
              <w:rPr>
                <w:rFonts w:cs="Arial"/>
              </w:rPr>
              <w:t>uvjetno</w:t>
            </w:r>
          </w:p>
        </w:tc>
      </w:tr>
      <w:tr w:rsidR="00B22537" w:rsidRPr="00310690" w:rsidTr="00BD0FB0">
        <w:trPr>
          <w:trHeight w:val="320"/>
        </w:trPr>
        <w:tc>
          <w:tcPr>
            <w:tcW w:w="9628" w:type="dxa"/>
            <w:gridSpan w:val="4"/>
            <w:shd w:val="clear" w:color="auto" w:fill="DBE5F1"/>
            <w:vAlign w:val="center"/>
          </w:tcPr>
          <w:p w:rsidR="00B22537" w:rsidRPr="00310690" w:rsidRDefault="00B22537" w:rsidP="00BD0FB0">
            <w:pPr>
              <w:ind w:firstLine="883"/>
              <w:rPr>
                <w:rFonts w:cs="Arial"/>
              </w:rPr>
            </w:pPr>
            <w:r w:rsidRPr="00310690">
              <w:rPr>
                <w:rFonts w:cs="Arial"/>
              </w:rPr>
              <w:t>Nezavisni zastupnici</w:t>
            </w:r>
          </w:p>
        </w:tc>
      </w:tr>
      <w:tr w:rsidR="00310690" w:rsidRPr="00310690" w:rsidTr="00BD0FB0">
        <w:trPr>
          <w:trHeight w:val="320"/>
        </w:trPr>
        <w:tc>
          <w:tcPr>
            <w:tcW w:w="870" w:type="dxa"/>
            <w:vAlign w:val="center"/>
          </w:tcPr>
          <w:p w:rsidR="00310690" w:rsidRPr="00310690" w:rsidRDefault="00310690" w:rsidP="00310690">
            <w:pPr>
              <w:jc w:val="center"/>
              <w:rPr>
                <w:rFonts w:cs="Arial"/>
                <w:sz w:val="22"/>
                <w:szCs w:val="22"/>
              </w:rPr>
            </w:pPr>
            <w:r w:rsidRPr="00310690">
              <w:rPr>
                <w:rFonts w:cs="Arial"/>
                <w:sz w:val="22"/>
                <w:szCs w:val="22"/>
              </w:rPr>
              <w:t>1.</w:t>
            </w:r>
          </w:p>
        </w:tc>
        <w:tc>
          <w:tcPr>
            <w:tcW w:w="5750" w:type="dxa"/>
            <w:vAlign w:val="center"/>
          </w:tcPr>
          <w:p w:rsidR="00310690" w:rsidRPr="00310690" w:rsidRDefault="00310690" w:rsidP="00310690">
            <w:pPr>
              <w:widowControl/>
              <w:autoSpaceDE/>
              <w:autoSpaceDN/>
              <w:adjustRightInd/>
              <w:rPr>
                <w:rFonts w:cs="Arial"/>
              </w:rPr>
            </w:pPr>
            <w:r w:rsidRPr="00310690">
              <w:rPr>
                <w:rFonts w:cs="Arial"/>
              </w:rPr>
              <w:t xml:space="preserve">Vladimir </w:t>
            </w:r>
            <w:proofErr w:type="spellStart"/>
            <w:r w:rsidRPr="00310690">
              <w:rPr>
                <w:rFonts w:cs="Arial"/>
              </w:rPr>
              <w:t>Bilek</w:t>
            </w:r>
            <w:proofErr w:type="spellEnd"/>
            <w:r w:rsidRPr="00310690">
              <w:rPr>
                <w:rFonts w:cs="Arial"/>
              </w:rPr>
              <w:t xml:space="preserve"> </w:t>
            </w:r>
          </w:p>
        </w:tc>
        <w:tc>
          <w:tcPr>
            <w:tcW w:w="1457" w:type="dxa"/>
            <w:vAlign w:val="center"/>
          </w:tcPr>
          <w:p w:rsidR="00310690" w:rsidRPr="00310690" w:rsidRDefault="00310690" w:rsidP="00310690">
            <w:pPr>
              <w:widowControl/>
              <w:autoSpaceDE/>
              <w:autoSpaceDN/>
              <w:adjustRightInd/>
              <w:jc w:val="center"/>
              <w:rPr>
                <w:rFonts w:cs="Arial"/>
              </w:rPr>
            </w:pPr>
            <w:r w:rsidRPr="00310690">
              <w:rPr>
                <w:rFonts w:cs="Arial"/>
              </w:rPr>
              <w:t>bezuvjetno</w:t>
            </w:r>
          </w:p>
        </w:tc>
        <w:tc>
          <w:tcPr>
            <w:tcW w:w="1551" w:type="dxa"/>
            <w:vAlign w:val="center"/>
          </w:tcPr>
          <w:p w:rsidR="00310690" w:rsidRPr="00310690" w:rsidRDefault="00310690" w:rsidP="00310690">
            <w:pPr>
              <w:widowControl/>
              <w:autoSpaceDE/>
              <w:autoSpaceDN/>
              <w:adjustRightInd/>
              <w:jc w:val="center"/>
              <w:rPr>
                <w:rFonts w:cs="Arial"/>
              </w:rPr>
            </w:pPr>
            <w:r w:rsidRPr="00310690">
              <w:rPr>
                <w:rFonts w:cs="Arial"/>
              </w:rPr>
              <w:t>bezuvjetno</w:t>
            </w:r>
          </w:p>
        </w:tc>
      </w:tr>
      <w:tr w:rsidR="00310690" w:rsidRPr="00310690" w:rsidTr="00BD0FB0">
        <w:trPr>
          <w:trHeight w:val="320"/>
        </w:trPr>
        <w:tc>
          <w:tcPr>
            <w:tcW w:w="870" w:type="dxa"/>
            <w:vAlign w:val="center"/>
          </w:tcPr>
          <w:p w:rsidR="00310690" w:rsidRPr="00310690" w:rsidRDefault="00310690" w:rsidP="00310690">
            <w:pPr>
              <w:jc w:val="center"/>
              <w:rPr>
                <w:rFonts w:cs="Arial"/>
                <w:sz w:val="22"/>
                <w:szCs w:val="22"/>
              </w:rPr>
            </w:pPr>
            <w:r w:rsidRPr="00310690">
              <w:rPr>
                <w:rFonts w:cs="Arial"/>
                <w:sz w:val="22"/>
                <w:szCs w:val="22"/>
              </w:rPr>
              <w:t>2.</w:t>
            </w:r>
          </w:p>
        </w:tc>
        <w:tc>
          <w:tcPr>
            <w:tcW w:w="5750" w:type="dxa"/>
            <w:vAlign w:val="center"/>
          </w:tcPr>
          <w:p w:rsidR="00310690" w:rsidRPr="00310690" w:rsidRDefault="00310690" w:rsidP="00310690">
            <w:pPr>
              <w:widowControl/>
              <w:autoSpaceDE/>
              <w:autoSpaceDN/>
              <w:adjustRightInd/>
              <w:rPr>
                <w:rFonts w:cs="Arial"/>
              </w:rPr>
            </w:pPr>
            <w:r w:rsidRPr="00310690">
              <w:rPr>
                <w:rFonts w:cs="Arial"/>
              </w:rPr>
              <w:t xml:space="preserve">Robert </w:t>
            </w:r>
            <w:proofErr w:type="spellStart"/>
            <w:r w:rsidRPr="00310690">
              <w:rPr>
                <w:rFonts w:cs="Arial"/>
              </w:rPr>
              <w:t>Jankovics</w:t>
            </w:r>
            <w:proofErr w:type="spellEnd"/>
            <w:r w:rsidRPr="00310690">
              <w:rPr>
                <w:rFonts w:cs="Arial"/>
              </w:rPr>
              <w:t xml:space="preserve"> </w:t>
            </w:r>
          </w:p>
        </w:tc>
        <w:tc>
          <w:tcPr>
            <w:tcW w:w="1457" w:type="dxa"/>
            <w:vAlign w:val="center"/>
          </w:tcPr>
          <w:p w:rsidR="00310690" w:rsidRPr="00310690" w:rsidRDefault="00310690" w:rsidP="00310690">
            <w:pPr>
              <w:widowControl/>
              <w:autoSpaceDE/>
              <w:autoSpaceDN/>
              <w:adjustRightInd/>
              <w:jc w:val="center"/>
              <w:rPr>
                <w:rFonts w:cs="Arial"/>
              </w:rPr>
            </w:pPr>
            <w:r w:rsidRPr="00310690">
              <w:rPr>
                <w:rFonts w:cs="Arial"/>
              </w:rPr>
              <w:t>bezuvjetno</w:t>
            </w:r>
          </w:p>
        </w:tc>
        <w:tc>
          <w:tcPr>
            <w:tcW w:w="1551" w:type="dxa"/>
            <w:vAlign w:val="center"/>
          </w:tcPr>
          <w:p w:rsidR="00310690" w:rsidRPr="00310690" w:rsidRDefault="00310690" w:rsidP="00310690">
            <w:pPr>
              <w:widowControl/>
              <w:autoSpaceDE/>
              <w:autoSpaceDN/>
              <w:adjustRightInd/>
              <w:jc w:val="center"/>
              <w:rPr>
                <w:rFonts w:cs="Arial"/>
              </w:rPr>
            </w:pPr>
            <w:r w:rsidRPr="00310690">
              <w:rPr>
                <w:rFonts w:cs="Arial"/>
              </w:rPr>
              <w:t>bezuvjetno</w:t>
            </w:r>
          </w:p>
        </w:tc>
      </w:tr>
      <w:tr w:rsidR="00310690" w:rsidRPr="00310690" w:rsidTr="00BD0FB0">
        <w:trPr>
          <w:trHeight w:val="320"/>
        </w:trPr>
        <w:tc>
          <w:tcPr>
            <w:tcW w:w="870" w:type="dxa"/>
            <w:vAlign w:val="center"/>
          </w:tcPr>
          <w:p w:rsidR="00310690" w:rsidRPr="00310690" w:rsidRDefault="00310690" w:rsidP="00310690">
            <w:pPr>
              <w:jc w:val="center"/>
              <w:rPr>
                <w:rFonts w:cs="Arial"/>
                <w:sz w:val="22"/>
                <w:szCs w:val="22"/>
              </w:rPr>
            </w:pPr>
            <w:r w:rsidRPr="00310690">
              <w:rPr>
                <w:rFonts w:cs="Arial"/>
                <w:sz w:val="22"/>
                <w:szCs w:val="22"/>
              </w:rPr>
              <w:t>3.</w:t>
            </w:r>
          </w:p>
        </w:tc>
        <w:tc>
          <w:tcPr>
            <w:tcW w:w="5750" w:type="dxa"/>
            <w:vAlign w:val="center"/>
          </w:tcPr>
          <w:p w:rsidR="00310690" w:rsidRPr="00310690" w:rsidRDefault="00310690" w:rsidP="00310690">
            <w:pPr>
              <w:widowControl/>
              <w:autoSpaceDE/>
              <w:autoSpaceDN/>
              <w:adjustRightInd/>
              <w:rPr>
                <w:rFonts w:cs="Arial"/>
              </w:rPr>
            </w:pPr>
            <w:r w:rsidRPr="00310690">
              <w:rPr>
                <w:rFonts w:cs="Arial"/>
              </w:rPr>
              <w:t xml:space="preserve">Veljko </w:t>
            </w:r>
            <w:proofErr w:type="spellStart"/>
            <w:r w:rsidRPr="00310690">
              <w:rPr>
                <w:rFonts w:cs="Arial"/>
              </w:rPr>
              <w:t>Kajtazi</w:t>
            </w:r>
            <w:proofErr w:type="spellEnd"/>
            <w:r w:rsidRPr="00310690">
              <w:rPr>
                <w:rFonts w:cs="Arial"/>
              </w:rPr>
              <w:t xml:space="preserve"> </w:t>
            </w:r>
          </w:p>
        </w:tc>
        <w:tc>
          <w:tcPr>
            <w:tcW w:w="1457" w:type="dxa"/>
            <w:vAlign w:val="center"/>
          </w:tcPr>
          <w:p w:rsidR="00310690" w:rsidRPr="00310690" w:rsidRDefault="00310690" w:rsidP="00310690">
            <w:pPr>
              <w:widowControl/>
              <w:autoSpaceDE/>
              <w:autoSpaceDN/>
              <w:adjustRightInd/>
              <w:jc w:val="center"/>
              <w:rPr>
                <w:rFonts w:cs="Arial"/>
              </w:rPr>
            </w:pPr>
            <w:r w:rsidRPr="00310690">
              <w:rPr>
                <w:rFonts w:cs="Arial"/>
              </w:rPr>
              <w:t>bezuvjetno</w:t>
            </w:r>
          </w:p>
        </w:tc>
        <w:tc>
          <w:tcPr>
            <w:tcW w:w="1551" w:type="dxa"/>
            <w:vAlign w:val="center"/>
          </w:tcPr>
          <w:p w:rsidR="00310690" w:rsidRPr="00310690" w:rsidRDefault="00310690" w:rsidP="00310690">
            <w:pPr>
              <w:widowControl/>
              <w:autoSpaceDE/>
              <w:autoSpaceDN/>
              <w:adjustRightInd/>
              <w:jc w:val="center"/>
              <w:rPr>
                <w:rFonts w:cs="Arial"/>
              </w:rPr>
            </w:pPr>
            <w:r w:rsidRPr="00310690">
              <w:rPr>
                <w:rFonts w:cs="Arial"/>
              </w:rPr>
              <w:t>bezuvjetno</w:t>
            </w:r>
          </w:p>
        </w:tc>
      </w:tr>
      <w:tr w:rsidR="00B22537" w:rsidRPr="00310690" w:rsidTr="00BD0FB0">
        <w:trPr>
          <w:trHeight w:val="320"/>
        </w:trPr>
        <w:tc>
          <w:tcPr>
            <w:tcW w:w="870" w:type="dxa"/>
            <w:vAlign w:val="center"/>
          </w:tcPr>
          <w:p w:rsidR="00B22537" w:rsidRPr="00310690" w:rsidRDefault="00B22537" w:rsidP="00BD0FB0">
            <w:pPr>
              <w:jc w:val="center"/>
              <w:rPr>
                <w:rFonts w:cs="Arial"/>
                <w:sz w:val="22"/>
                <w:szCs w:val="22"/>
              </w:rPr>
            </w:pPr>
            <w:r w:rsidRPr="00310690">
              <w:rPr>
                <w:rFonts w:cs="Arial"/>
                <w:sz w:val="22"/>
                <w:szCs w:val="22"/>
              </w:rPr>
              <w:t>4.</w:t>
            </w:r>
          </w:p>
        </w:tc>
        <w:tc>
          <w:tcPr>
            <w:tcW w:w="5750" w:type="dxa"/>
            <w:vAlign w:val="center"/>
          </w:tcPr>
          <w:p w:rsidR="00B22537" w:rsidRPr="00310690" w:rsidRDefault="00B22537" w:rsidP="00BD0FB0">
            <w:pPr>
              <w:widowControl/>
              <w:autoSpaceDE/>
              <w:autoSpaceDN/>
              <w:adjustRightInd/>
              <w:rPr>
                <w:rFonts w:cs="Arial"/>
              </w:rPr>
            </w:pPr>
            <w:r w:rsidRPr="00310690">
              <w:rPr>
                <w:rFonts w:cs="Arial"/>
              </w:rPr>
              <w:t xml:space="preserve">Ermina </w:t>
            </w:r>
            <w:proofErr w:type="spellStart"/>
            <w:r w:rsidRPr="00310690">
              <w:rPr>
                <w:rFonts w:cs="Arial"/>
              </w:rPr>
              <w:t>Lekaj</w:t>
            </w:r>
            <w:proofErr w:type="spellEnd"/>
            <w:r w:rsidRPr="00310690">
              <w:rPr>
                <w:rFonts w:cs="Arial"/>
              </w:rPr>
              <w:t xml:space="preserve"> </w:t>
            </w:r>
            <w:proofErr w:type="spellStart"/>
            <w:r w:rsidRPr="00310690">
              <w:rPr>
                <w:rFonts w:cs="Arial"/>
              </w:rPr>
              <w:t>Prljaskaj</w:t>
            </w:r>
            <w:proofErr w:type="spellEnd"/>
            <w:r w:rsidRPr="00310690">
              <w:rPr>
                <w:rFonts w:cs="Arial"/>
              </w:rPr>
              <w:t xml:space="preserve"> </w:t>
            </w:r>
          </w:p>
        </w:tc>
        <w:tc>
          <w:tcPr>
            <w:tcW w:w="1457" w:type="dxa"/>
            <w:vAlign w:val="center"/>
          </w:tcPr>
          <w:p w:rsidR="00B22537" w:rsidRPr="00310690" w:rsidRDefault="00310690" w:rsidP="00BD0FB0">
            <w:pPr>
              <w:widowControl/>
              <w:autoSpaceDE/>
              <w:autoSpaceDN/>
              <w:adjustRightInd/>
              <w:jc w:val="center"/>
              <w:rPr>
                <w:rFonts w:cs="Arial"/>
              </w:rPr>
            </w:pPr>
            <w:r>
              <w:rPr>
                <w:rFonts w:cs="Arial"/>
              </w:rPr>
              <w:t>uvjetno</w:t>
            </w:r>
          </w:p>
        </w:tc>
        <w:tc>
          <w:tcPr>
            <w:tcW w:w="1551" w:type="dxa"/>
            <w:vAlign w:val="center"/>
          </w:tcPr>
          <w:p w:rsidR="00B22537" w:rsidRPr="00310690" w:rsidRDefault="009B0BA3" w:rsidP="00BD0FB0">
            <w:pPr>
              <w:widowControl/>
              <w:autoSpaceDE/>
              <w:autoSpaceDN/>
              <w:adjustRightInd/>
              <w:jc w:val="center"/>
              <w:rPr>
                <w:rFonts w:cs="Arial"/>
              </w:rPr>
            </w:pPr>
            <w:r>
              <w:rPr>
                <w:rFonts w:cs="Arial"/>
              </w:rPr>
              <w:t>bez</w:t>
            </w:r>
            <w:r w:rsidR="00310690">
              <w:rPr>
                <w:rFonts w:cs="Arial"/>
              </w:rPr>
              <w:t>uvjetno</w:t>
            </w:r>
          </w:p>
        </w:tc>
      </w:tr>
      <w:tr w:rsidR="00310690" w:rsidRPr="00310690" w:rsidTr="00BD0FB0">
        <w:trPr>
          <w:trHeight w:val="320"/>
        </w:trPr>
        <w:tc>
          <w:tcPr>
            <w:tcW w:w="870" w:type="dxa"/>
            <w:vAlign w:val="center"/>
          </w:tcPr>
          <w:p w:rsidR="00310690" w:rsidRPr="00310690" w:rsidRDefault="00310690" w:rsidP="00310690">
            <w:pPr>
              <w:jc w:val="center"/>
              <w:rPr>
                <w:rFonts w:cs="Arial"/>
                <w:sz w:val="22"/>
                <w:szCs w:val="22"/>
              </w:rPr>
            </w:pPr>
            <w:r w:rsidRPr="00310690">
              <w:rPr>
                <w:rFonts w:cs="Arial"/>
                <w:sz w:val="22"/>
                <w:szCs w:val="22"/>
              </w:rPr>
              <w:t>5.</w:t>
            </w:r>
          </w:p>
        </w:tc>
        <w:tc>
          <w:tcPr>
            <w:tcW w:w="5750" w:type="dxa"/>
            <w:vAlign w:val="center"/>
          </w:tcPr>
          <w:p w:rsidR="00310690" w:rsidRPr="00310690" w:rsidRDefault="00310690" w:rsidP="00310690">
            <w:pPr>
              <w:widowControl/>
              <w:autoSpaceDE/>
              <w:autoSpaceDN/>
              <w:adjustRightInd/>
              <w:rPr>
                <w:rFonts w:cs="Arial"/>
              </w:rPr>
            </w:pPr>
            <w:r w:rsidRPr="00310690">
              <w:rPr>
                <w:rFonts w:cs="Arial"/>
              </w:rPr>
              <w:t xml:space="preserve">dr. </w:t>
            </w:r>
            <w:proofErr w:type="spellStart"/>
            <w:r w:rsidRPr="00310690">
              <w:rPr>
                <w:rFonts w:cs="Arial"/>
              </w:rPr>
              <w:t>sc</w:t>
            </w:r>
            <w:proofErr w:type="spellEnd"/>
            <w:r w:rsidRPr="00310690">
              <w:rPr>
                <w:rFonts w:cs="Arial"/>
              </w:rPr>
              <w:t xml:space="preserve">. </w:t>
            </w:r>
            <w:proofErr w:type="spellStart"/>
            <w:r w:rsidRPr="00310690">
              <w:rPr>
                <w:rFonts w:cs="Arial"/>
              </w:rPr>
              <w:t>Furio</w:t>
            </w:r>
            <w:proofErr w:type="spellEnd"/>
            <w:r w:rsidRPr="00310690">
              <w:rPr>
                <w:rFonts w:cs="Arial"/>
              </w:rPr>
              <w:t xml:space="preserve"> Radin </w:t>
            </w:r>
          </w:p>
        </w:tc>
        <w:tc>
          <w:tcPr>
            <w:tcW w:w="1457" w:type="dxa"/>
            <w:vAlign w:val="center"/>
          </w:tcPr>
          <w:p w:rsidR="00310690" w:rsidRPr="00310690" w:rsidRDefault="00310690" w:rsidP="00310690">
            <w:pPr>
              <w:widowControl/>
              <w:autoSpaceDE/>
              <w:autoSpaceDN/>
              <w:adjustRightInd/>
              <w:jc w:val="center"/>
              <w:rPr>
                <w:rFonts w:cs="Arial"/>
              </w:rPr>
            </w:pPr>
            <w:r w:rsidRPr="00310690">
              <w:rPr>
                <w:rFonts w:cs="Arial"/>
              </w:rPr>
              <w:t>bezuvjetno</w:t>
            </w:r>
          </w:p>
        </w:tc>
        <w:tc>
          <w:tcPr>
            <w:tcW w:w="1551" w:type="dxa"/>
            <w:vAlign w:val="center"/>
          </w:tcPr>
          <w:p w:rsidR="00310690" w:rsidRPr="00310690" w:rsidRDefault="00310690" w:rsidP="00310690">
            <w:pPr>
              <w:widowControl/>
              <w:autoSpaceDE/>
              <w:autoSpaceDN/>
              <w:adjustRightInd/>
              <w:jc w:val="center"/>
              <w:rPr>
                <w:rFonts w:cs="Arial"/>
              </w:rPr>
            </w:pPr>
            <w:r w:rsidRPr="00310690">
              <w:rPr>
                <w:rFonts w:cs="Arial"/>
              </w:rPr>
              <w:t>bezuvjetno</w:t>
            </w:r>
          </w:p>
        </w:tc>
      </w:tr>
      <w:tr w:rsidR="00B22537" w:rsidRPr="00310690" w:rsidTr="00BD0FB0">
        <w:trPr>
          <w:trHeight w:val="320"/>
        </w:trPr>
        <w:tc>
          <w:tcPr>
            <w:tcW w:w="9628" w:type="dxa"/>
            <w:gridSpan w:val="4"/>
            <w:shd w:val="clear" w:color="auto" w:fill="DBE5F1"/>
            <w:vAlign w:val="center"/>
            <w:hideMark/>
          </w:tcPr>
          <w:p w:rsidR="00B22537" w:rsidRPr="00310690" w:rsidRDefault="003E465F" w:rsidP="007B78FF">
            <w:pPr>
              <w:rPr>
                <w:rFonts w:cs="Arial"/>
              </w:rPr>
            </w:pPr>
            <w:r w:rsidRPr="00310690">
              <w:rPr>
                <w:rFonts w:cs="Arial"/>
              </w:rPr>
              <w:t xml:space="preserve">              </w:t>
            </w:r>
            <w:r w:rsidR="007B78FF" w:rsidRPr="00310690">
              <w:rPr>
                <w:rFonts w:cs="Arial"/>
              </w:rPr>
              <w:t>Jedinice lokalne i područne (regionalne) samouprave</w:t>
            </w:r>
          </w:p>
        </w:tc>
      </w:tr>
      <w:tr w:rsidR="00D10301" w:rsidRPr="00310690" w:rsidTr="00BD0FB0">
        <w:trPr>
          <w:trHeight w:val="320"/>
        </w:trPr>
        <w:tc>
          <w:tcPr>
            <w:tcW w:w="870" w:type="dxa"/>
            <w:shd w:val="clear" w:color="auto" w:fill="auto"/>
            <w:vAlign w:val="center"/>
          </w:tcPr>
          <w:p w:rsidR="00D10301" w:rsidRPr="00310690" w:rsidRDefault="00D10301" w:rsidP="00D10301">
            <w:pPr>
              <w:jc w:val="center"/>
              <w:rPr>
                <w:rFonts w:cs="Arial"/>
                <w:sz w:val="22"/>
                <w:szCs w:val="22"/>
              </w:rPr>
            </w:pPr>
            <w:r w:rsidRPr="00310690">
              <w:rPr>
                <w:rFonts w:cs="Arial"/>
                <w:sz w:val="22"/>
                <w:szCs w:val="22"/>
              </w:rPr>
              <w:t>1.</w:t>
            </w:r>
          </w:p>
        </w:tc>
        <w:tc>
          <w:tcPr>
            <w:tcW w:w="5750" w:type="dxa"/>
            <w:shd w:val="clear" w:color="auto" w:fill="auto"/>
            <w:vAlign w:val="center"/>
          </w:tcPr>
          <w:p w:rsidR="00D10301" w:rsidRPr="00310690" w:rsidRDefault="00D10301" w:rsidP="00D10301">
            <w:pPr>
              <w:rPr>
                <w:rFonts w:cs="Arial"/>
              </w:rPr>
            </w:pPr>
            <w:r w:rsidRPr="00310690">
              <w:rPr>
                <w:rFonts w:cs="Arial"/>
              </w:rPr>
              <w:t>Krapinsko-zagorska županija</w:t>
            </w:r>
          </w:p>
        </w:tc>
        <w:tc>
          <w:tcPr>
            <w:tcW w:w="1457" w:type="dxa"/>
            <w:shd w:val="clear" w:color="auto" w:fill="auto"/>
            <w:vAlign w:val="center"/>
          </w:tcPr>
          <w:p w:rsidR="00D10301" w:rsidRPr="00310690" w:rsidRDefault="00D10301" w:rsidP="00D10301">
            <w:pPr>
              <w:jc w:val="center"/>
              <w:rPr>
                <w:rFonts w:cs="Arial"/>
              </w:rPr>
            </w:pPr>
            <w:r w:rsidRPr="00310690">
              <w:rPr>
                <w:rFonts w:cs="Arial"/>
              </w:rPr>
              <w:t>bezuvjetno</w:t>
            </w:r>
          </w:p>
        </w:tc>
        <w:tc>
          <w:tcPr>
            <w:tcW w:w="1551" w:type="dxa"/>
            <w:shd w:val="clear" w:color="auto" w:fill="auto"/>
            <w:vAlign w:val="center"/>
          </w:tcPr>
          <w:p w:rsidR="00D10301" w:rsidRPr="00310690" w:rsidRDefault="00D10301" w:rsidP="00D10301">
            <w:pPr>
              <w:jc w:val="center"/>
              <w:rPr>
                <w:rFonts w:cs="Arial"/>
              </w:rPr>
            </w:pPr>
            <w:r w:rsidRPr="00310690">
              <w:rPr>
                <w:rFonts w:cs="Arial"/>
              </w:rPr>
              <w:t>bezuvjetno</w:t>
            </w:r>
          </w:p>
        </w:tc>
      </w:tr>
      <w:tr w:rsidR="00D10301" w:rsidRPr="00310690" w:rsidTr="00BD0FB0">
        <w:trPr>
          <w:trHeight w:val="320"/>
        </w:trPr>
        <w:tc>
          <w:tcPr>
            <w:tcW w:w="870" w:type="dxa"/>
            <w:vAlign w:val="center"/>
          </w:tcPr>
          <w:p w:rsidR="00D10301" w:rsidRPr="00310690" w:rsidRDefault="00D10301" w:rsidP="00D10301">
            <w:pPr>
              <w:jc w:val="center"/>
              <w:rPr>
                <w:rFonts w:cs="Arial"/>
                <w:sz w:val="22"/>
                <w:szCs w:val="22"/>
              </w:rPr>
            </w:pPr>
            <w:r w:rsidRPr="00310690">
              <w:rPr>
                <w:rFonts w:cs="Arial"/>
                <w:sz w:val="22"/>
                <w:szCs w:val="22"/>
              </w:rPr>
              <w:t>2.</w:t>
            </w:r>
          </w:p>
        </w:tc>
        <w:tc>
          <w:tcPr>
            <w:tcW w:w="5750" w:type="dxa"/>
            <w:vAlign w:val="center"/>
          </w:tcPr>
          <w:p w:rsidR="00D10301" w:rsidRPr="00310690" w:rsidRDefault="00D10301" w:rsidP="00D10301">
            <w:pPr>
              <w:rPr>
                <w:rFonts w:cs="Arial"/>
              </w:rPr>
            </w:pPr>
            <w:r w:rsidRPr="00310690">
              <w:rPr>
                <w:rFonts w:cs="Arial"/>
              </w:rPr>
              <w:t>Grad Šibenik</w:t>
            </w:r>
          </w:p>
        </w:tc>
        <w:tc>
          <w:tcPr>
            <w:tcW w:w="1457" w:type="dxa"/>
            <w:vAlign w:val="center"/>
          </w:tcPr>
          <w:p w:rsidR="00D10301" w:rsidRPr="00310690" w:rsidRDefault="00D10301" w:rsidP="00D10301">
            <w:pPr>
              <w:jc w:val="center"/>
              <w:rPr>
                <w:rFonts w:cs="Arial"/>
              </w:rPr>
            </w:pPr>
            <w:r w:rsidRPr="00310690">
              <w:rPr>
                <w:rFonts w:cs="Arial"/>
              </w:rPr>
              <w:t>bezuvjetno</w:t>
            </w:r>
          </w:p>
        </w:tc>
        <w:tc>
          <w:tcPr>
            <w:tcW w:w="1551" w:type="dxa"/>
            <w:vAlign w:val="center"/>
          </w:tcPr>
          <w:p w:rsidR="00D10301" w:rsidRPr="00310690" w:rsidRDefault="00D10301" w:rsidP="00D10301">
            <w:pPr>
              <w:jc w:val="center"/>
              <w:rPr>
                <w:rFonts w:cs="Arial"/>
              </w:rPr>
            </w:pPr>
            <w:r w:rsidRPr="00310690">
              <w:rPr>
                <w:rFonts w:cs="Arial"/>
              </w:rPr>
              <w:t>bezuvjetno</w:t>
            </w:r>
          </w:p>
        </w:tc>
      </w:tr>
      <w:tr w:rsidR="00D10301" w:rsidRPr="00310690" w:rsidTr="00FF13F4">
        <w:trPr>
          <w:trHeight w:val="320"/>
        </w:trPr>
        <w:tc>
          <w:tcPr>
            <w:tcW w:w="870" w:type="dxa"/>
            <w:vAlign w:val="center"/>
          </w:tcPr>
          <w:p w:rsidR="00D10301" w:rsidRPr="00310690" w:rsidRDefault="00D10301" w:rsidP="00D10301">
            <w:pPr>
              <w:jc w:val="center"/>
              <w:rPr>
                <w:rFonts w:cs="Arial"/>
                <w:sz w:val="22"/>
                <w:szCs w:val="22"/>
              </w:rPr>
            </w:pPr>
            <w:r w:rsidRPr="00310690">
              <w:rPr>
                <w:rFonts w:cs="Arial"/>
                <w:sz w:val="22"/>
                <w:szCs w:val="22"/>
              </w:rPr>
              <w:t>3.</w:t>
            </w:r>
          </w:p>
        </w:tc>
        <w:tc>
          <w:tcPr>
            <w:tcW w:w="5750" w:type="dxa"/>
            <w:shd w:val="clear" w:color="auto" w:fill="auto"/>
            <w:vAlign w:val="center"/>
          </w:tcPr>
          <w:p w:rsidR="00D10301" w:rsidRPr="00310690" w:rsidRDefault="00D10301" w:rsidP="00D10301">
            <w:pPr>
              <w:widowControl/>
              <w:autoSpaceDE/>
              <w:autoSpaceDN/>
              <w:adjustRightInd/>
              <w:jc w:val="left"/>
              <w:rPr>
                <w:rFonts w:cs="Arial"/>
              </w:rPr>
            </w:pPr>
            <w:r w:rsidRPr="00310690">
              <w:rPr>
                <w:rFonts w:cs="Arial"/>
              </w:rPr>
              <w:t>Grad Zabok</w:t>
            </w:r>
          </w:p>
        </w:tc>
        <w:tc>
          <w:tcPr>
            <w:tcW w:w="1457" w:type="dxa"/>
            <w:noWrap/>
            <w:vAlign w:val="center"/>
          </w:tcPr>
          <w:p w:rsidR="00D10301" w:rsidRPr="00310690" w:rsidRDefault="00D10301" w:rsidP="00D10301">
            <w:pPr>
              <w:jc w:val="center"/>
              <w:rPr>
                <w:rFonts w:cs="Arial"/>
              </w:rPr>
            </w:pPr>
            <w:r w:rsidRPr="00310690">
              <w:rPr>
                <w:rFonts w:cs="Arial"/>
              </w:rPr>
              <w:t>bezuvjetno</w:t>
            </w:r>
          </w:p>
        </w:tc>
        <w:tc>
          <w:tcPr>
            <w:tcW w:w="1551" w:type="dxa"/>
            <w:noWrap/>
            <w:vAlign w:val="center"/>
          </w:tcPr>
          <w:p w:rsidR="00D10301" w:rsidRPr="00310690" w:rsidRDefault="00D10301" w:rsidP="00D10301">
            <w:pPr>
              <w:jc w:val="center"/>
              <w:rPr>
                <w:rFonts w:cs="Arial"/>
              </w:rPr>
            </w:pPr>
            <w:r w:rsidRPr="00310690">
              <w:rPr>
                <w:rFonts w:cs="Arial"/>
              </w:rPr>
              <w:t>bezuvjetno</w:t>
            </w:r>
          </w:p>
        </w:tc>
      </w:tr>
      <w:tr w:rsidR="002E6101" w:rsidRPr="00310690" w:rsidTr="00BD0FB0">
        <w:trPr>
          <w:trHeight w:val="320"/>
        </w:trPr>
        <w:tc>
          <w:tcPr>
            <w:tcW w:w="870" w:type="dxa"/>
            <w:vAlign w:val="center"/>
          </w:tcPr>
          <w:p w:rsidR="002E6101" w:rsidRPr="00310690" w:rsidRDefault="002E6101" w:rsidP="002E6101">
            <w:pPr>
              <w:jc w:val="center"/>
              <w:rPr>
                <w:rFonts w:cs="Arial"/>
                <w:sz w:val="22"/>
                <w:szCs w:val="22"/>
              </w:rPr>
            </w:pPr>
            <w:r w:rsidRPr="00310690">
              <w:rPr>
                <w:rFonts w:cs="Arial"/>
                <w:sz w:val="22"/>
                <w:szCs w:val="22"/>
              </w:rPr>
              <w:t>4.</w:t>
            </w:r>
          </w:p>
        </w:tc>
        <w:tc>
          <w:tcPr>
            <w:tcW w:w="5750" w:type="dxa"/>
            <w:shd w:val="clear" w:color="auto" w:fill="auto"/>
            <w:vAlign w:val="center"/>
          </w:tcPr>
          <w:p w:rsidR="002E6101" w:rsidRPr="00310690" w:rsidRDefault="002E6101" w:rsidP="002E6101">
            <w:pPr>
              <w:rPr>
                <w:rFonts w:cs="Arial"/>
              </w:rPr>
            </w:pPr>
            <w:r w:rsidRPr="00310690">
              <w:rPr>
                <w:rFonts w:cs="Arial"/>
              </w:rPr>
              <w:t xml:space="preserve">Općina Donji </w:t>
            </w:r>
            <w:proofErr w:type="spellStart"/>
            <w:r w:rsidRPr="00310690">
              <w:rPr>
                <w:rFonts w:cs="Arial"/>
              </w:rPr>
              <w:t>Andrijevci</w:t>
            </w:r>
            <w:proofErr w:type="spellEnd"/>
          </w:p>
        </w:tc>
        <w:tc>
          <w:tcPr>
            <w:tcW w:w="1457" w:type="dxa"/>
            <w:noWrap/>
          </w:tcPr>
          <w:p w:rsidR="002E6101" w:rsidRPr="00310690" w:rsidRDefault="002E6101" w:rsidP="002E6101">
            <w:pPr>
              <w:jc w:val="center"/>
              <w:rPr>
                <w:rFonts w:cs="Arial"/>
                <w:sz w:val="22"/>
                <w:szCs w:val="22"/>
              </w:rPr>
            </w:pPr>
            <w:r w:rsidRPr="00C37142">
              <w:rPr>
                <w:rFonts w:cs="Arial"/>
              </w:rPr>
              <w:t>bezuvjetno</w:t>
            </w:r>
          </w:p>
        </w:tc>
        <w:tc>
          <w:tcPr>
            <w:tcW w:w="1551" w:type="dxa"/>
            <w:noWrap/>
          </w:tcPr>
          <w:p w:rsidR="002E6101" w:rsidRPr="00310690" w:rsidRDefault="002E6101" w:rsidP="002E6101">
            <w:pPr>
              <w:jc w:val="center"/>
              <w:rPr>
                <w:rFonts w:cs="Arial"/>
                <w:sz w:val="22"/>
                <w:szCs w:val="22"/>
              </w:rPr>
            </w:pPr>
            <w:r w:rsidRPr="00D24BAA">
              <w:rPr>
                <w:rFonts w:cs="Arial"/>
                <w:sz w:val="22"/>
                <w:szCs w:val="22"/>
              </w:rPr>
              <w:t>uvjetno</w:t>
            </w:r>
          </w:p>
        </w:tc>
      </w:tr>
      <w:tr w:rsidR="002E6101" w:rsidRPr="00310690" w:rsidTr="00BD0FB0">
        <w:trPr>
          <w:trHeight w:val="320"/>
        </w:trPr>
        <w:tc>
          <w:tcPr>
            <w:tcW w:w="870" w:type="dxa"/>
            <w:vAlign w:val="center"/>
          </w:tcPr>
          <w:p w:rsidR="002E6101" w:rsidRPr="00310690" w:rsidRDefault="002E6101" w:rsidP="002E6101">
            <w:pPr>
              <w:jc w:val="center"/>
              <w:rPr>
                <w:rFonts w:cs="Arial"/>
                <w:sz w:val="22"/>
                <w:szCs w:val="22"/>
              </w:rPr>
            </w:pPr>
            <w:r w:rsidRPr="00310690">
              <w:rPr>
                <w:rFonts w:cs="Arial"/>
                <w:sz w:val="22"/>
                <w:szCs w:val="22"/>
              </w:rPr>
              <w:t>5.</w:t>
            </w:r>
          </w:p>
        </w:tc>
        <w:tc>
          <w:tcPr>
            <w:tcW w:w="5750" w:type="dxa"/>
            <w:shd w:val="clear" w:color="auto" w:fill="auto"/>
            <w:vAlign w:val="center"/>
          </w:tcPr>
          <w:p w:rsidR="002E6101" w:rsidRPr="00310690" w:rsidRDefault="002E6101" w:rsidP="002E6101">
            <w:pPr>
              <w:rPr>
                <w:rFonts w:cs="Arial"/>
              </w:rPr>
            </w:pPr>
            <w:r w:rsidRPr="00310690">
              <w:rPr>
                <w:rFonts w:cs="Arial"/>
              </w:rPr>
              <w:t>Općina Kumrovec</w:t>
            </w:r>
          </w:p>
        </w:tc>
        <w:tc>
          <w:tcPr>
            <w:tcW w:w="1457" w:type="dxa"/>
            <w:noWrap/>
          </w:tcPr>
          <w:p w:rsidR="002E6101" w:rsidRPr="00310690" w:rsidRDefault="002E6101" w:rsidP="002E6101">
            <w:pPr>
              <w:jc w:val="center"/>
              <w:rPr>
                <w:rFonts w:cs="Arial"/>
                <w:sz w:val="22"/>
                <w:szCs w:val="22"/>
              </w:rPr>
            </w:pPr>
            <w:r w:rsidRPr="00C37142">
              <w:rPr>
                <w:rFonts w:cs="Arial"/>
              </w:rPr>
              <w:t>bezuvjetno</w:t>
            </w:r>
          </w:p>
        </w:tc>
        <w:tc>
          <w:tcPr>
            <w:tcW w:w="1551" w:type="dxa"/>
            <w:noWrap/>
          </w:tcPr>
          <w:p w:rsidR="002E6101" w:rsidRPr="00310690" w:rsidRDefault="002E6101" w:rsidP="002E6101">
            <w:pPr>
              <w:jc w:val="center"/>
              <w:rPr>
                <w:rFonts w:cs="Arial"/>
                <w:sz w:val="22"/>
                <w:szCs w:val="22"/>
              </w:rPr>
            </w:pPr>
            <w:r w:rsidRPr="00D24BAA">
              <w:rPr>
                <w:rFonts w:cs="Arial"/>
                <w:sz w:val="22"/>
                <w:szCs w:val="22"/>
              </w:rPr>
              <w:t>uvjetno</w:t>
            </w:r>
          </w:p>
        </w:tc>
      </w:tr>
      <w:tr w:rsidR="002E6101" w:rsidRPr="00310690" w:rsidTr="00FF13F4">
        <w:trPr>
          <w:trHeight w:val="320"/>
        </w:trPr>
        <w:tc>
          <w:tcPr>
            <w:tcW w:w="870" w:type="dxa"/>
            <w:vAlign w:val="center"/>
          </w:tcPr>
          <w:p w:rsidR="002E6101" w:rsidRPr="00310690" w:rsidRDefault="002E6101" w:rsidP="002E6101">
            <w:pPr>
              <w:jc w:val="center"/>
              <w:rPr>
                <w:rFonts w:cs="Arial"/>
                <w:sz w:val="22"/>
                <w:szCs w:val="22"/>
              </w:rPr>
            </w:pPr>
            <w:r w:rsidRPr="00310690">
              <w:rPr>
                <w:rFonts w:cs="Arial"/>
                <w:sz w:val="22"/>
                <w:szCs w:val="22"/>
              </w:rPr>
              <w:t>6.</w:t>
            </w:r>
          </w:p>
        </w:tc>
        <w:tc>
          <w:tcPr>
            <w:tcW w:w="5750" w:type="dxa"/>
            <w:shd w:val="clear" w:color="auto" w:fill="auto"/>
            <w:vAlign w:val="center"/>
          </w:tcPr>
          <w:p w:rsidR="002E6101" w:rsidRPr="00310690" w:rsidRDefault="002E6101" w:rsidP="002E6101">
            <w:pPr>
              <w:rPr>
                <w:rFonts w:cs="Arial"/>
              </w:rPr>
            </w:pPr>
            <w:r w:rsidRPr="00310690">
              <w:rPr>
                <w:rFonts w:cs="Arial"/>
              </w:rPr>
              <w:t xml:space="preserve">Općina </w:t>
            </w:r>
            <w:proofErr w:type="spellStart"/>
            <w:r w:rsidRPr="00310690">
              <w:rPr>
                <w:rFonts w:cs="Arial"/>
              </w:rPr>
              <w:t>Seget</w:t>
            </w:r>
            <w:proofErr w:type="spellEnd"/>
          </w:p>
        </w:tc>
        <w:tc>
          <w:tcPr>
            <w:tcW w:w="1457" w:type="dxa"/>
            <w:noWrap/>
            <w:vAlign w:val="center"/>
          </w:tcPr>
          <w:p w:rsidR="002E6101" w:rsidRPr="00310690" w:rsidRDefault="002E6101" w:rsidP="002E6101">
            <w:pPr>
              <w:jc w:val="center"/>
              <w:rPr>
                <w:rFonts w:cs="Arial"/>
                <w:sz w:val="22"/>
                <w:szCs w:val="22"/>
              </w:rPr>
            </w:pPr>
            <w:r w:rsidRPr="00310690">
              <w:rPr>
                <w:rFonts w:cs="Arial"/>
                <w:sz w:val="22"/>
                <w:szCs w:val="22"/>
              </w:rPr>
              <w:t>uvjetno</w:t>
            </w:r>
          </w:p>
        </w:tc>
        <w:tc>
          <w:tcPr>
            <w:tcW w:w="1551" w:type="dxa"/>
            <w:noWrap/>
          </w:tcPr>
          <w:p w:rsidR="002E6101" w:rsidRPr="00310690" w:rsidRDefault="002E6101" w:rsidP="002E6101">
            <w:pPr>
              <w:jc w:val="center"/>
              <w:rPr>
                <w:rFonts w:cs="Arial"/>
                <w:sz w:val="22"/>
                <w:szCs w:val="22"/>
              </w:rPr>
            </w:pPr>
            <w:r w:rsidRPr="00310690">
              <w:rPr>
                <w:rFonts w:cs="Arial"/>
                <w:sz w:val="22"/>
                <w:szCs w:val="22"/>
              </w:rPr>
              <w:t>uvjetno</w:t>
            </w:r>
          </w:p>
        </w:tc>
      </w:tr>
      <w:tr w:rsidR="002E6101" w:rsidRPr="00310690" w:rsidTr="00BD0FB0">
        <w:trPr>
          <w:trHeight w:val="387"/>
        </w:trPr>
        <w:tc>
          <w:tcPr>
            <w:tcW w:w="9628" w:type="dxa"/>
            <w:gridSpan w:val="4"/>
            <w:shd w:val="clear" w:color="auto" w:fill="DBE5F1" w:themeFill="accent1" w:themeFillTint="33"/>
            <w:vAlign w:val="center"/>
            <w:hideMark/>
          </w:tcPr>
          <w:p w:rsidR="002E6101" w:rsidRPr="005C5C55" w:rsidRDefault="002E6101" w:rsidP="002E6101">
            <w:pPr>
              <w:rPr>
                <w:rFonts w:cs="Arial"/>
              </w:rPr>
            </w:pPr>
            <w:r w:rsidRPr="005C5C55">
              <w:rPr>
                <w:rFonts w:cs="Arial"/>
              </w:rPr>
              <w:t xml:space="preserve">              Trgovačka društva u vlasništvu lokalnih jedinica</w:t>
            </w:r>
          </w:p>
        </w:tc>
      </w:tr>
      <w:tr w:rsidR="002E6101" w:rsidRPr="00310690" w:rsidTr="00AB1756">
        <w:trPr>
          <w:trHeight w:val="320"/>
        </w:trPr>
        <w:tc>
          <w:tcPr>
            <w:tcW w:w="870" w:type="dxa"/>
            <w:vAlign w:val="center"/>
          </w:tcPr>
          <w:p w:rsidR="002E6101" w:rsidRPr="00310690" w:rsidRDefault="002E6101" w:rsidP="002E6101">
            <w:pPr>
              <w:jc w:val="center"/>
              <w:rPr>
                <w:rFonts w:cs="Arial"/>
                <w:sz w:val="22"/>
                <w:szCs w:val="22"/>
              </w:rPr>
            </w:pPr>
            <w:r w:rsidRPr="00310690">
              <w:rPr>
                <w:rFonts w:cs="Arial"/>
                <w:sz w:val="22"/>
                <w:szCs w:val="22"/>
              </w:rPr>
              <w:t>1.</w:t>
            </w:r>
          </w:p>
        </w:tc>
        <w:tc>
          <w:tcPr>
            <w:tcW w:w="5750" w:type="dxa"/>
          </w:tcPr>
          <w:p w:rsidR="002E6101" w:rsidRPr="00CF5D3B" w:rsidRDefault="002E6101" w:rsidP="002E6101">
            <w:pPr>
              <w:rPr>
                <w:rFonts w:cs="Arial"/>
              </w:rPr>
            </w:pPr>
            <w:r w:rsidRPr="00CF5D3B">
              <w:rPr>
                <w:rFonts w:cs="Arial"/>
              </w:rPr>
              <w:t xml:space="preserve">Čistoća Cetinske krajine d.o.o., Sinj </w:t>
            </w:r>
          </w:p>
        </w:tc>
        <w:tc>
          <w:tcPr>
            <w:tcW w:w="1457" w:type="dxa"/>
            <w:vAlign w:val="center"/>
          </w:tcPr>
          <w:p w:rsidR="002E6101" w:rsidRPr="00310690" w:rsidRDefault="002E6101" w:rsidP="002E6101">
            <w:pPr>
              <w:jc w:val="center"/>
              <w:rPr>
                <w:rFonts w:cs="Arial"/>
                <w:sz w:val="22"/>
                <w:szCs w:val="22"/>
              </w:rPr>
            </w:pPr>
            <w:r w:rsidRPr="00310690">
              <w:rPr>
                <w:rFonts w:cs="Arial"/>
                <w:sz w:val="22"/>
                <w:szCs w:val="22"/>
              </w:rPr>
              <w:t>uvjetno</w:t>
            </w:r>
          </w:p>
        </w:tc>
        <w:tc>
          <w:tcPr>
            <w:tcW w:w="1551" w:type="dxa"/>
          </w:tcPr>
          <w:p w:rsidR="002E6101" w:rsidRPr="00310690" w:rsidRDefault="002E6101" w:rsidP="002E6101">
            <w:pPr>
              <w:jc w:val="center"/>
              <w:rPr>
                <w:rFonts w:cs="Arial"/>
                <w:sz w:val="22"/>
                <w:szCs w:val="22"/>
              </w:rPr>
            </w:pPr>
            <w:r w:rsidRPr="00310690">
              <w:rPr>
                <w:rFonts w:cs="Arial"/>
                <w:sz w:val="22"/>
                <w:szCs w:val="22"/>
              </w:rPr>
              <w:t>uvjetno</w:t>
            </w:r>
          </w:p>
        </w:tc>
      </w:tr>
      <w:tr w:rsidR="002E6101" w:rsidRPr="00310690" w:rsidTr="00AB1756">
        <w:trPr>
          <w:trHeight w:val="320"/>
        </w:trPr>
        <w:tc>
          <w:tcPr>
            <w:tcW w:w="870" w:type="dxa"/>
            <w:vAlign w:val="center"/>
          </w:tcPr>
          <w:p w:rsidR="002E6101" w:rsidRPr="00310690" w:rsidRDefault="002E6101" w:rsidP="002E6101">
            <w:pPr>
              <w:jc w:val="center"/>
              <w:rPr>
                <w:rFonts w:cs="Arial"/>
                <w:sz w:val="22"/>
                <w:szCs w:val="22"/>
              </w:rPr>
            </w:pPr>
            <w:r w:rsidRPr="00310690">
              <w:rPr>
                <w:rFonts w:cs="Arial"/>
                <w:sz w:val="22"/>
                <w:szCs w:val="22"/>
              </w:rPr>
              <w:t>2.</w:t>
            </w:r>
          </w:p>
        </w:tc>
        <w:tc>
          <w:tcPr>
            <w:tcW w:w="5750" w:type="dxa"/>
          </w:tcPr>
          <w:p w:rsidR="002E6101" w:rsidRPr="00CF5D3B" w:rsidRDefault="002E6101" w:rsidP="002E6101">
            <w:pPr>
              <w:rPr>
                <w:rFonts w:cs="Arial"/>
              </w:rPr>
            </w:pPr>
            <w:r w:rsidRPr="00CF5D3B">
              <w:rPr>
                <w:rFonts w:cs="Arial"/>
              </w:rPr>
              <w:t>Našički vodovod d.o.o.</w:t>
            </w:r>
          </w:p>
        </w:tc>
        <w:tc>
          <w:tcPr>
            <w:tcW w:w="1457" w:type="dxa"/>
          </w:tcPr>
          <w:p w:rsidR="002E6101" w:rsidRPr="00310690" w:rsidRDefault="002E6101" w:rsidP="002E6101">
            <w:pPr>
              <w:jc w:val="center"/>
              <w:rPr>
                <w:rFonts w:cs="Arial"/>
                <w:sz w:val="22"/>
                <w:szCs w:val="22"/>
              </w:rPr>
            </w:pPr>
            <w:r w:rsidRPr="00310690">
              <w:rPr>
                <w:rFonts w:cs="Arial"/>
                <w:sz w:val="22"/>
                <w:szCs w:val="22"/>
              </w:rPr>
              <w:t>uvjetno</w:t>
            </w:r>
          </w:p>
        </w:tc>
        <w:tc>
          <w:tcPr>
            <w:tcW w:w="1551" w:type="dxa"/>
          </w:tcPr>
          <w:p w:rsidR="002E6101" w:rsidRPr="00310690" w:rsidRDefault="002E6101" w:rsidP="002E6101">
            <w:pPr>
              <w:jc w:val="center"/>
              <w:rPr>
                <w:rFonts w:cs="Arial"/>
                <w:sz w:val="22"/>
                <w:szCs w:val="22"/>
              </w:rPr>
            </w:pPr>
            <w:r w:rsidRPr="00310690">
              <w:rPr>
                <w:rFonts w:cs="Arial"/>
                <w:sz w:val="22"/>
                <w:szCs w:val="22"/>
              </w:rPr>
              <w:t>uvjetno</w:t>
            </w:r>
          </w:p>
        </w:tc>
      </w:tr>
      <w:tr w:rsidR="002E6101" w:rsidRPr="00310690" w:rsidTr="00AB1756">
        <w:trPr>
          <w:trHeight w:val="320"/>
        </w:trPr>
        <w:tc>
          <w:tcPr>
            <w:tcW w:w="870" w:type="dxa"/>
            <w:vAlign w:val="center"/>
          </w:tcPr>
          <w:p w:rsidR="002E6101" w:rsidRPr="00310690" w:rsidRDefault="002E6101" w:rsidP="002E6101">
            <w:pPr>
              <w:jc w:val="center"/>
              <w:rPr>
                <w:rFonts w:cs="Arial"/>
                <w:sz w:val="22"/>
                <w:szCs w:val="22"/>
              </w:rPr>
            </w:pPr>
            <w:r w:rsidRPr="00310690">
              <w:rPr>
                <w:rFonts w:cs="Arial"/>
                <w:sz w:val="22"/>
                <w:szCs w:val="22"/>
              </w:rPr>
              <w:t>3.</w:t>
            </w:r>
          </w:p>
        </w:tc>
        <w:tc>
          <w:tcPr>
            <w:tcW w:w="5750" w:type="dxa"/>
          </w:tcPr>
          <w:p w:rsidR="002E6101" w:rsidRPr="00CF5D3B" w:rsidRDefault="002E6101" w:rsidP="002E6101">
            <w:pPr>
              <w:rPr>
                <w:rFonts w:cs="Arial"/>
              </w:rPr>
            </w:pPr>
            <w:r w:rsidRPr="00CF5D3B">
              <w:rPr>
                <w:rFonts w:cs="Arial"/>
              </w:rPr>
              <w:t>Vodovod Dubrovnik d.o.o.</w:t>
            </w:r>
          </w:p>
        </w:tc>
        <w:tc>
          <w:tcPr>
            <w:tcW w:w="1457" w:type="dxa"/>
          </w:tcPr>
          <w:p w:rsidR="002E6101" w:rsidRPr="00310690" w:rsidRDefault="002E6101" w:rsidP="002E6101">
            <w:pPr>
              <w:jc w:val="center"/>
              <w:rPr>
                <w:rFonts w:cs="Arial"/>
                <w:sz w:val="22"/>
                <w:szCs w:val="22"/>
              </w:rPr>
            </w:pPr>
            <w:r w:rsidRPr="00310690">
              <w:rPr>
                <w:rFonts w:cs="Arial"/>
                <w:sz w:val="22"/>
                <w:szCs w:val="22"/>
              </w:rPr>
              <w:t>uvjetno</w:t>
            </w:r>
          </w:p>
        </w:tc>
        <w:tc>
          <w:tcPr>
            <w:tcW w:w="1551" w:type="dxa"/>
          </w:tcPr>
          <w:p w:rsidR="002E6101" w:rsidRPr="00310690" w:rsidRDefault="002E6101" w:rsidP="002E6101">
            <w:pPr>
              <w:jc w:val="center"/>
              <w:rPr>
                <w:rFonts w:cs="Arial"/>
                <w:sz w:val="22"/>
                <w:szCs w:val="22"/>
              </w:rPr>
            </w:pPr>
            <w:r w:rsidRPr="00310690">
              <w:rPr>
                <w:rFonts w:cs="Arial"/>
                <w:sz w:val="22"/>
                <w:szCs w:val="22"/>
              </w:rPr>
              <w:t>uvjetno</w:t>
            </w:r>
          </w:p>
        </w:tc>
      </w:tr>
    </w:tbl>
    <w:p w:rsidR="00B22537" w:rsidRPr="00310690" w:rsidRDefault="00B22537" w:rsidP="00B22537">
      <w:pPr>
        <w:rPr>
          <w:rFonts w:cs="Arial"/>
          <w:sz w:val="22"/>
          <w:szCs w:val="22"/>
        </w:rPr>
      </w:pPr>
    </w:p>
    <w:p w:rsidR="004D0529" w:rsidRDefault="004D0529" w:rsidP="009270F2">
      <w:pPr>
        <w:rPr>
          <w:rFonts w:cs="Arial"/>
          <w:b/>
          <w:sz w:val="22"/>
          <w:szCs w:val="22"/>
        </w:rPr>
      </w:pPr>
    </w:p>
    <w:p w:rsidR="000336F3" w:rsidRDefault="000336F3" w:rsidP="009270F2">
      <w:pPr>
        <w:rPr>
          <w:rFonts w:cs="Arial"/>
          <w:b/>
          <w:sz w:val="22"/>
          <w:szCs w:val="22"/>
        </w:rPr>
      </w:pPr>
    </w:p>
    <w:p w:rsidR="000336F3" w:rsidRDefault="000336F3" w:rsidP="009270F2">
      <w:pPr>
        <w:rPr>
          <w:rFonts w:cs="Arial"/>
          <w:b/>
          <w:sz w:val="22"/>
          <w:szCs w:val="22"/>
        </w:rPr>
      </w:pPr>
    </w:p>
    <w:p w:rsidR="004D0529" w:rsidRDefault="004D0529" w:rsidP="009270F2">
      <w:pPr>
        <w:rPr>
          <w:rFonts w:cs="Arial"/>
          <w:b/>
          <w:sz w:val="22"/>
          <w:szCs w:val="22"/>
        </w:rPr>
      </w:pPr>
    </w:p>
    <w:p w:rsidR="007B78FF" w:rsidRPr="00310690" w:rsidRDefault="007B78FF" w:rsidP="009270F2">
      <w:pPr>
        <w:rPr>
          <w:rFonts w:cs="Arial"/>
          <w:b/>
          <w:sz w:val="22"/>
          <w:szCs w:val="22"/>
        </w:rPr>
      </w:pPr>
      <w:r w:rsidRPr="00310690">
        <w:rPr>
          <w:rFonts w:cs="Arial"/>
          <w:b/>
          <w:sz w:val="22"/>
          <w:szCs w:val="22"/>
        </w:rPr>
        <w:t>REVIZIJA USKLAĐENOSTI</w:t>
      </w:r>
    </w:p>
    <w:p w:rsidR="00EE4A88" w:rsidRPr="00310690" w:rsidRDefault="00EE4A88" w:rsidP="00EE4A88">
      <w:pPr>
        <w:rPr>
          <w:rFonts w:cs="Arial"/>
          <w:i/>
          <w:sz w:val="22"/>
          <w:szCs w:val="22"/>
        </w:rPr>
      </w:pPr>
      <w:r w:rsidRPr="00310690">
        <w:rPr>
          <w:rFonts w:cs="Arial"/>
          <w:i/>
          <w:sz w:val="22"/>
          <w:szCs w:val="22"/>
        </w:rPr>
        <w:t>(mišljenje: bezuvjetno; uvjetno; suzdržano; nepovoljno)</w:t>
      </w:r>
    </w:p>
    <w:p w:rsidR="00EE4A88" w:rsidRPr="00310690" w:rsidRDefault="00EE4A88" w:rsidP="00EE4A88">
      <w:pPr>
        <w:jc w:val="left"/>
        <w:rPr>
          <w:rFonts w:cs="Arial"/>
          <w:sz w:val="22"/>
          <w:szCs w:val="22"/>
        </w:rPr>
      </w:pPr>
    </w:p>
    <w:tbl>
      <w:tblPr>
        <w:tblStyle w:val="Reetkatablice"/>
        <w:tblW w:w="0" w:type="auto"/>
        <w:tblInd w:w="0" w:type="dxa"/>
        <w:tblLook w:val="04A0" w:firstRow="1" w:lastRow="0" w:firstColumn="1" w:lastColumn="0" w:noHBand="0" w:noVBand="1"/>
      </w:tblPr>
      <w:tblGrid>
        <w:gridCol w:w="846"/>
        <w:gridCol w:w="5615"/>
        <w:gridCol w:w="3167"/>
      </w:tblGrid>
      <w:tr w:rsidR="007B78FF" w:rsidRPr="00310690" w:rsidTr="00AB1756">
        <w:trPr>
          <w:trHeight w:val="479"/>
        </w:trPr>
        <w:tc>
          <w:tcPr>
            <w:tcW w:w="846" w:type="dxa"/>
            <w:shd w:val="clear" w:color="auto" w:fill="DBE5F1" w:themeFill="accent1" w:themeFillTint="33"/>
            <w:vAlign w:val="center"/>
            <w:hideMark/>
          </w:tcPr>
          <w:p w:rsidR="007B78FF" w:rsidRPr="007E73D9" w:rsidRDefault="007B78FF" w:rsidP="00AB1756">
            <w:pPr>
              <w:jc w:val="center"/>
              <w:rPr>
                <w:rFonts w:cs="Arial"/>
              </w:rPr>
            </w:pPr>
            <w:r w:rsidRPr="007E73D9">
              <w:rPr>
                <w:rFonts w:cs="Arial"/>
              </w:rPr>
              <w:t>Redni broj</w:t>
            </w:r>
          </w:p>
        </w:tc>
        <w:tc>
          <w:tcPr>
            <w:tcW w:w="5615" w:type="dxa"/>
            <w:shd w:val="clear" w:color="auto" w:fill="DBE5F1" w:themeFill="accent1" w:themeFillTint="33"/>
            <w:vAlign w:val="center"/>
          </w:tcPr>
          <w:p w:rsidR="007B78FF" w:rsidRPr="007E73D9" w:rsidRDefault="007B78FF" w:rsidP="00AB1756">
            <w:pPr>
              <w:jc w:val="center"/>
              <w:rPr>
                <w:rFonts w:cs="Arial"/>
              </w:rPr>
            </w:pPr>
            <w:r w:rsidRPr="007E73D9">
              <w:rPr>
                <w:rFonts w:cs="Arial"/>
              </w:rPr>
              <w:t>Naziv subjekta</w:t>
            </w:r>
          </w:p>
        </w:tc>
        <w:tc>
          <w:tcPr>
            <w:tcW w:w="3167" w:type="dxa"/>
            <w:shd w:val="clear" w:color="auto" w:fill="DBE5F1" w:themeFill="accent1" w:themeFillTint="33"/>
            <w:vAlign w:val="center"/>
          </w:tcPr>
          <w:p w:rsidR="007B78FF" w:rsidRPr="007E73D9" w:rsidRDefault="007B78FF" w:rsidP="00AB1756">
            <w:pPr>
              <w:jc w:val="center"/>
              <w:rPr>
                <w:rFonts w:cs="Arial"/>
              </w:rPr>
            </w:pPr>
            <w:r w:rsidRPr="007E73D9">
              <w:rPr>
                <w:rFonts w:cs="Arial"/>
              </w:rPr>
              <w:t>Izraženo mišljenje</w:t>
            </w:r>
          </w:p>
        </w:tc>
      </w:tr>
      <w:tr w:rsidR="007B78FF" w:rsidRPr="00310690" w:rsidTr="00AB1756">
        <w:trPr>
          <w:trHeight w:val="286"/>
        </w:trPr>
        <w:tc>
          <w:tcPr>
            <w:tcW w:w="846" w:type="dxa"/>
            <w:vAlign w:val="center"/>
          </w:tcPr>
          <w:p w:rsidR="007B78FF" w:rsidRPr="007E73D9" w:rsidRDefault="007B78FF" w:rsidP="007E73D9">
            <w:pPr>
              <w:rPr>
                <w:rFonts w:cs="Arial"/>
              </w:rPr>
            </w:pPr>
            <w:r w:rsidRPr="007E73D9">
              <w:rPr>
                <w:rFonts w:cs="Arial"/>
              </w:rPr>
              <w:t>1.</w:t>
            </w:r>
          </w:p>
        </w:tc>
        <w:tc>
          <w:tcPr>
            <w:tcW w:w="5615" w:type="dxa"/>
            <w:vAlign w:val="center"/>
          </w:tcPr>
          <w:p w:rsidR="007B78FF" w:rsidRPr="007E73D9" w:rsidRDefault="007B78FF" w:rsidP="007E73D9">
            <w:pPr>
              <w:rPr>
                <w:rFonts w:cs="Arial"/>
              </w:rPr>
            </w:pPr>
            <w:r w:rsidRPr="007E73D9">
              <w:rPr>
                <w:rFonts w:cs="Arial"/>
              </w:rPr>
              <w:t>Hrvatska energetska regulatorna agencija</w:t>
            </w:r>
          </w:p>
        </w:tc>
        <w:tc>
          <w:tcPr>
            <w:tcW w:w="3167" w:type="dxa"/>
            <w:vAlign w:val="center"/>
          </w:tcPr>
          <w:p w:rsidR="007B78FF" w:rsidRPr="00310690" w:rsidRDefault="007B78FF" w:rsidP="000336F3">
            <w:pPr>
              <w:jc w:val="center"/>
              <w:rPr>
                <w:rFonts w:cs="Arial"/>
              </w:rPr>
            </w:pPr>
            <w:r w:rsidRPr="00310690">
              <w:rPr>
                <w:rFonts w:cs="Arial"/>
              </w:rPr>
              <w:t>nepovoljno</w:t>
            </w:r>
          </w:p>
        </w:tc>
      </w:tr>
    </w:tbl>
    <w:p w:rsidR="007B78FF" w:rsidRPr="00310690" w:rsidRDefault="007B78FF" w:rsidP="009270F2">
      <w:pPr>
        <w:rPr>
          <w:rFonts w:cs="Arial"/>
        </w:rPr>
      </w:pPr>
    </w:p>
    <w:sectPr w:rsidR="007B78FF" w:rsidRPr="00310690" w:rsidSect="000C30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54" w:rsidRDefault="00405454" w:rsidP="00952B63">
      <w:r>
        <w:separator/>
      </w:r>
    </w:p>
  </w:endnote>
  <w:endnote w:type="continuationSeparator" w:id="0">
    <w:p w:rsidR="00405454" w:rsidRDefault="00405454" w:rsidP="0095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54" w:rsidRDefault="00405454" w:rsidP="00952B63">
      <w:r>
        <w:separator/>
      </w:r>
    </w:p>
  </w:footnote>
  <w:footnote w:type="continuationSeparator" w:id="0">
    <w:p w:rsidR="00405454" w:rsidRDefault="00405454" w:rsidP="00952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040142"/>
      <w:docPartObj>
        <w:docPartGallery w:val="Page Numbers (Top of Page)"/>
        <w:docPartUnique/>
      </w:docPartObj>
    </w:sdtPr>
    <w:sdtEndPr/>
    <w:sdtContent>
      <w:p w:rsidR="00D871F8" w:rsidRDefault="00D871F8">
        <w:pPr>
          <w:pStyle w:val="Zaglavlje"/>
          <w:jc w:val="center"/>
        </w:pPr>
        <w:r>
          <w:fldChar w:fldCharType="begin"/>
        </w:r>
        <w:r>
          <w:instrText>PAGE   \* MERGEFORMAT</w:instrText>
        </w:r>
        <w:r>
          <w:fldChar w:fldCharType="separate"/>
        </w:r>
        <w:r w:rsidR="00D06639">
          <w:rPr>
            <w:noProof/>
          </w:rPr>
          <w:t>12</w:t>
        </w:r>
        <w:r>
          <w:fldChar w:fldCharType="end"/>
        </w:r>
      </w:p>
    </w:sdtContent>
  </w:sdt>
  <w:p w:rsidR="00D871F8" w:rsidRDefault="00D871F8">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874"/>
    <w:multiLevelType w:val="hybridMultilevel"/>
    <w:tmpl w:val="EDDA74DA"/>
    <w:lvl w:ilvl="0" w:tplc="65389AEC">
      <w:start w:val="5"/>
      <w:numFmt w:val="bullet"/>
      <w:lvlText w:val="–"/>
      <w:lvlJc w:val="left"/>
      <w:pPr>
        <w:ind w:left="644" w:hanging="360"/>
      </w:pPr>
      <w:rPr>
        <w:rFonts w:ascii="Arial" w:eastAsia="Calibri" w:hAnsi="Arial" w:cs="Arial" w:hint="default"/>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15:restartNumberingAfterBreak="0">
    <w:nsid w:val="089605DB"/>
    <w:multiLevelType w:val="hybridMultilevel"/>
    <w:tmpl w:val="CB7863FA"/>
    <w:lvl w:ilvl="0" w:tplc="6B96D23C">
      <w:numFmt w:val="bullet"/>
      <w:lvlText w:val="-"/>
      <w:lvlJc w:val="left"/>
      <w:pPr>
        <w:ind w:left="1288" w:hanging="360"/>
      </w:pPr>
      <w:rPr>
        <w:rFonts w:ascii="Times New Roman" w:eastAsia="Times New Roman" w:hAnsi="Times New Roman" w:cs="Times New Roman" w:hint="default"/>
      </w:rPr>
    </w:lvl>
    <w:lvl w:ilvl="1" w:tplc="041A0003">
      <w:start w:val="1"/>
      <w:numFmt w:val="bullet"/>
      <w:lvlText w:val="o"/>
      <w:lvlJc w:val="left"/>
      <w:pPr>
        <w:ind w:left="2008" w:hanging="360"/>
      </w:pPr>
      <w:rPr>
        <w:rFonts w:ascii="Courier New" w:hAnsi="Courier New" w:cs="Courier New" w:hint="default"/>
      </w:rPr>
    </w:lvl>
    <w:lvl w:ilvl="2" w:tplc="041A0005" w:tentative="1">
      <w:start w:val="1"/>
      <w:numFmt w:val="bullet"/>
      <w:lvlText w:val=""/>
      <w:lvlJc w:val="left"/>
      <w:pPr>
        <w:ind w:left="2728" w:hanging="360"/>
      </w:pPr>
      <w:rPr>
        <w:rFonts w:ascii="Wingdings" w:hAnsi="Wingdings" w:hint="default"/>
      </w:rPr>
    </w:lvl>
    <w:lvl w:ilvl="3" w:tplc="041A0001" w:tentative="1">
      <w:start w:val="1"/>
      <w:numFmt w:val="bullet"/>
      <w:lvlText w:val=""/>
      <w:lvlJc w:val="left"/>
      <w:pPr>
        <w:ind w:left="3448" w:hanging="360"/>
      </w:pPr>
      <w:rPr>
        <w:rFonts w:ascii="Symbol" w:hAnsi="Symbol" w:hint="default"/>
      </w:rPr>
    </w:lvl>
    <w:lvl w:ilvl="4" w:tplc="041A0003" w:tentative="1">
      <w:start w:val="1"/>
      <w:numFmt w:val="bullet"/>
      <w:lvlText w:val="o"/>
      <w:lvlJc w:val="left"/>
      <w:pPr>
        <w:ind w:left="4168" w:hanging="360"/>
      </w:pPr>
      <w:rPr>
        <w:rFonts w:ascii="Courier New" w:hAnsi="Courier New" w:cs="Courier New" w:hint="default"/>
      </w:rPr>
    </w:lvl>
    <w:lvl w:ilvl="5" w:tplc="041A0005" w:tentative="1">
      <w:start w:val="1"/>
      <w:numFmt w:val="bullet"/>
      <w:lvlText w:val=""/>
      <w:lvlJc w:val="left"/>
      <w:pPr>
        <w:ind w:left="4888" w:hanging="360"/>
      </w:pPr>
      <w:rPr>
        <w:rFonts w:ascii="Wingdings" w:hAnsi="Wingdings" w:hint="default"/>
      </w:rPr>
    </w:lvl>
    <w:lvl w:ilvl="6" w:tplc="041A0001" w:tentative="1">
      <w:start w:val="1"/>
      <w:numFmt w:val="bullet"/>
      <w:lvlText w:val=""/>
      <w:lvlJc w:val="left"/>
      <w:pPr>
        <w:ind w:left="5608" w:hanging="360"/>
      </w:pPr>
      <w:rPr>
        <w:rFonts w:ascii="Symbol" w:hAnsi="Symbol" w:hint="default"/>
      </w:rPr>
    </w:lvl>
    <w:lvl w:ilvl="7" w:tplc="041A0003" w:tentative="1">
      <w:start w:val="1"/>
      <w:numFmt w:val="bullet"/>
      <w:lvlText w:val="o"/>
      <w:lvlJc w:val="left"/>
      <w:pPr>
        <w:ind w:left="6328" w:hanging="360"/>
      </w:pPr>
      <w:rPr>
        <w:rFonts w:ascii="Courier New" w:hAnsi="Courier New" w:cs="Courier New" w:hint="default"/>
      </w:rPr>
    </w:lvl>
    <w:lvl w:ilvl="8" w:tplc="041A0005" w:tentative="1">
      <w:start w:val="1"/>
      <w:numFmt w:val="bullet"/>
      <w:lvlText w:val=""/>
      <w:lvlJc w:val="left"/>
      <w:pPr>
        <w:ind w:left="7048" w:hanging="360"/>
      </w:pPr>
      <w:rPr>
        <w:rFonts w:ascii="Wingdings" w:hAnsi="Wingdings" w:hint="default"/>
      </w:rPr>
    </w:lvl>
  </w:abstractNum>
  <w:abstractNum w:abstractNumId="2" w15:restartNumberingAfterBreak="0">
    <w:nsid w:val="0DFE75BE"/>
    <w:multiLevelType w:val="hybridMultilevel"/>
    <w:tmpl w:val="7A8A5D40"/>
    <w:lvl w:ilvl="0" w:tplc="5F26991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FB657D"/>
    <w:multiLevelType w:val="hybridMultilevel"/>
    <w:tmpl w:val="A8A41920"/>
    <w:lvl w:ilvl="0" w:tplc="02A002F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2D93FD0"/>
    <w:multiLevelType w:val="hybridMultilevel"/>
    <w:tmpl w:val="4F8C17EC"/>
    <w:lvl w:ilvl="0" w:tplc="D7FC7F84">
      <w:numFmt w:val="bullet"/>
      <w:lvlText w:val="-"/>
      <w:lvlJc w:val="left"/>
      <w:pPr>
        <w:ind w:left="930" w:hanging="360"/>
      </w:pPr>
      <w:rPr>
        <w:rFonts w:ascii="Arial" w:eastAsia="Times New Roman" w:hAnsi="Arial" w:hint="default"/>
      </w:rPr>
    </w:lvl>
    <w:lvl w:ilvl="1" w:tplc="041A0003" w:tentative="1">
      <w:start w:val="1"/>
      <w:numFmt w:val="bullet"/>
      <w:lvlText w:val="o"/>
      <w:lvlJc w:val="left"/>
      <w:pPr>
        <w:ind w:left="1650" w:hanging="360"/>
      </w:pPr>
      <w:rPr>
        <w:rFonts w:ascii="Courier New" w:hAnsi="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5" w15:restartNumberingAfterBreak="0">
    <w:nsid w:val="18DF55C3"/>
    <w:multiLevelType w:val="hybridMultilevel"/>
    <w:tmpl w:val="DC16C874"/>
    <w:lvl w:ilvl="0" w:tplc="499AEF40">
      <w:numFmt w:val="bullet"/>
      <w:lvlText w:val="-"/>
      <w:lvlJc w:val="left"/>
      <w:pPr>
        <w:ind w:left="1650" w:hanging="360"/>
      </w:pPr>
      <w:rPr>
        <w:rFonts w:ascii="Calibri" w:eastAsia="Calibri" w:hAnsi="Calibri" w:cs="Times New Roman" w:hint="default"/>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6" w15:restartNumberingAfterBreak="0">
    <w:nsid w:val="199218F5"/>
    <w:multiLevelType w:val="hybridMultilevel"/>
    <w:tmpl w:val="26108144"/>
    <w:lvl w:ilvl="0" w:tplc="499AEF40">
      <w:numFmt w:val="bullet"/>
      <w:lvlText w:val="-"/>
      <w:lvlJc w:val="left"/>
      <w:pPr>
        <w:ind w:left="1284" w:hanging="360"/>
      </w:pPr>
      <w:rPr>
        <w:rFonts w:ascii="Calibri" w:eastAsia="Calibri" w:hAnsi="Calibri" w:cs="Times New Roman" w:hint="default"/>
      </w:rPr>
    </w:lvl>
    <w:lvl w:ilvl="1" w:tplc="041A0003" w:tentative="1">
      <w:start w:val="1"/>
      <w:numFmt w:val="bullet"/>
      <w:lvlText w:val="o"/>
      <w:lvlJc w:val="left"/>
      <w:pPr>
        <w:ind w:left="2004" w:hanging="360"/>
      </w:pPr>
      <w:rPr>
        <w:rFonts w:ascii="Courier New" w:hAnsi="Courier New" w:cs="Courier New" w:hint="default"/>
      </w:rPr>
    </w:lvl>
    <w:lvl w:ilvl="2" w:tplc="041A0005" w:tentative="1">
      <w:start w:val="1"/>
      <w:numFmt w:val="bullet"/>
      <w:lvlText w:val=""/>
      <w:lvlJc w:val="left"/>
      <w:pPr>
        <w:ind w:left="2724" w:hanging="360"/>
      </w:pPr>
      <w:rPr>
        <w:rFonts w:ascii="Wingdings" w:hAnsi="Wingdings" w:hint="default"/>
      </w:rPr>
    </w:lvl>
    <w:lvl w:ilvl="3" w:tplc="041A0001" w:tentative="1">
      <w:start w:val="1"/>
      <w:numFmt w:val="bullet"/>
      <w:lvlText w:val=""/>
      <w:lvlJc w:val="left"/>
      <w:pPr>
        <w:ind w:left="3444" w:hanging="360"/>
      </w:pPr>
      <w:rPr>
        <w:rFonts w:ascii="Symbol" w:hAnsi="Symbol" w:hint="default"/>
      </w:rPr>
    </w:lvl>
    <w:lvl w:ilvl="4" w:tplc="041A0003" w:tentative="1">
      <w:start w:val="1"/>
      <w:numFmt w:val="bullet"/>
      <w:lvlText w:val="o"/>
      <w:lvlJc w:val="left"/>
      <w:pPr>
        <w:ind w:left="4164" w:hanging="360"/>
      </w:pPr>
      <w:rPr>
        <w:rFonts w:ascii="Courier New" w:hAnsi="Courier New" w:cs="Courier New" w:hint="default"/>
      </w:rPr>
    </w:lvl>
    <w:lvl w:ilvl="5" w:tplc="041A0005" w:tentative="1">
      <w:start w:val="1"/>
      <w:numFmt w:val="bullet"/>
      <w:lvlText w:val=""/>
      <w:lvlJc w:val="left"/>
      <w:pPr>
        <w:ind w:left="4884" w:hanging="360"/>
      </w:pPr>
      <w:rPr>
        <w:rFonts w:ascii="Wingdings" w:hAnsi="Wingdings" w:hint="default"/>
      </w:rPr>
    </w:lvl>
    <w:lvl w:ilvl="6" w:tplc="041A0001" w:tentative="1">
      <w:start w:val="1"/>
      <w:numFmt w:val="bullet"/>
      <w:lvlText w:val=""/>
      <w:lvlJc w:val="left"/>
      <w:pPr>
        <w:ind w:left="5604" w:hanging="360"/>
      </w:pPr>
      <w:rPr>
        <w:rFonts w:ascii="Symbol" w:hAnsi="Symbol" w:hint="default"/>
      </w:rPr>
    </w:lvl>
    <w:lvl w:ilvl="7" w:tplc="041A0003" w:tentative="1">
      <w:start w:val="1"/>
      <w:numFmt w:val="bullet"/>
      <w:lvlText w:val="o"/>
      <w:lvlJc w:val="left"/>
      <w:pPr>
        <w:ind w:left="6324" w:hanging="360"/>
      </w:pPr>
      <w:rPr>
        <w:rFonts w:ascii="Courier New" w:hAnsi="Courier New" w:cs="Courier New" w:hint="default"/>
      </w:rPr>
    </w:lvl>
    <w:lvl w:ilvl="8" w:tplc="041A0005" w:tentative="1">
      <w:start w:val="1"/>
      <w:numFmt w:val="bullet"/>
      <w:lvlText w:val=""/>
      <w:lvlJc w:val="left"/>
      <w:pPr>
        <w:ind w:left="7044" w:hanging="360"/>
      </w:pPr>
      <w:rPr>
        <w:rFonts w:ascii="Wingdings" w:hAnsi="Wingdings" w:hint="default"/>
      </w:rPr>
    </w:lvl>
  </w:abstractNum>
  <w:abstractNum w:abstractNumId="7" w15:restartNumberingAfterBreak="0">
    <w:nsid w:val="1D161177"/>
    <w:multiLevelType w:val="hybridMultilevel"/>
    <w:tmpl w:val="F3280B94"/>
    <w:lvl w:ilvl="0" w:tplc="EF5E85F2">
      <w:numFmt w:val="bullet"/>
      <w:lvlText w:val="-"/>
      <w:lvlJc w:val="left"/>
      <w:pPr>
        <w:ind w:left="930" w:hanging="360"/>
      </w:pPr>
      <w:rPr>
        <w:rFonts w:ascii="Times New Roman" w:eastAsia="Times New Roman" w:hAnsi="Times New Roman" w:cs="Times New Roman" w:hint="default"/>
      </w:rPr>
    </w:lvl>
    <w:lvl w:ilvl="1" w:tplc="041A0003">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8" w15:restartNumberingAfterBreak="0">
    <w:nsid w:val="222B0E0F"/>
    <w:multiLevelType w:val="hybridMultilevel"/>
    <w:tmpl w:val="72269C10"/>
    <w:lvl w:ilvl="0" w:tplc="499AEF40">
      <w:numFmt w:val="bullet"/>
      <w:lvlText w:val="-"/>
      <w:lvlJc w:val="left"/>
      <w:pPr>
        <w:ind w:left="360" w:hanging="360"/>
      </w:pPr>
      <w:rPr>
        <w:rFonts w:ascii="Calibri" w:eastAsia="Calibri" w:hAnsi="Calibri"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9" w15:restartNumberingAfterBreak="0">
    <w:nsid w:val="229B4543"/>
    <w:multiLevelType w:val="hybridMultilevel"/>
    <w:tmpl w:val="CBE4683C"/>
    <w:lvl w:ilvl="0" w:tplc="041A0003">
      <w:start w:val="1"/>
      <w:numFmt w:val="bullet"/>
      <w:lvlText w:val="o"/>
      <w:lvlJc w:val="left"/>
      <w:pPr>
        <w:ind w:left="1065" w:hanging="360"/>
      </w:pPr>
      <w:rPr>
        <w:rFonts w:ascii="Courier New" w:hAnsi="Courier New" w:cs="Courier New"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0" w15:restartNumberingAfterBreak="0">
    <w:nsid w:val="22C17E6B"/>
    <w:multiLevelType w:val="hybridMultilevel"/>
    <w:tmpl w:val="478AF108"/>
    <w:lvl w:ilvl="0" w:tplc="D45ED8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53089A"/>
    <w:multiLevelType w:val="hybridMultilevel"/>
    <w:tmpl w:val="377039BC"/>
    <w:lvl w:ilvl="0" w:tplc="041A0003">
      <w:start w:val="1"/>
      <w:numFmt w:val="bullet"/>
      <w:lvlText w:val="o"/>
      <w:lvlJc w:val="left"/>
      <w:pPr>
        <w:ind w:left="1065" w:hanging="360"/>
      </w:pPr>
      <w:rPr>
        <w:rFonts w:ascii="Courier New" w:hAnsi="Courier New" w:cs="Courier New"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2" w15:restartNumberingAfterBreak="0">
    <w:nsid w:val="29914CD6"/>
    <w:multiLevelType w:val="hybridMultilevel"/>
    <w:tmpl w:val="977E4D6C"/>
    <w:lvl w:ilvl="0" w:tplc="FCC25508">
      <w:numFmt w:val="bullet"/>
      <w:lvlText w:val="–"/>
      <w:lvlJc w:val="left"/>
      <w:pPr>
        <w:ind w:left="1637" w:hanging="360"/>
      </w:pPr>
      <w:rPr>
        <w:rFonts w:ascii="Arial" w:eastAsia="Times New Roman" w:hAnsi="Arial" w:cs="Arial" w:hint="default"/>
      </w:rPr>
    </w:lvl>
    <w:lvl w:ilvl="1" w:tplc="041A0003">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13" w15:restartNumberingAfterBreak="0">
    <w:nsid w:val="2E49528F"/>
    <w:multiLevelType w:val="hybridMultilevel"/>
    <w:tmpl w:val="36FCC86C"/>
    <w:lvl w:ilvl="0" w:tplc="4D4AA23A">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FBF76D2"/>
    <w:multiLevelType w:val="hybridMultilevel"/>
    <w:tmpl w:val="D5ACE4AA"/>
    <w:lvl w:ilvl="0" w:tplc="62EC62C0">
      <w:start w:val="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515789"/>
    <w:multiLevelType w:val="hybridMultilevel"/>
    <w:tmpl w:val="E0AE2A94"/>
    <w:lvl w:ilvl="0" w:tplc="C6B218AC">
      <w:start w:val="1"/>
      <w:numFmt w:val="bullet"/>
      <w:pStyle w:val="StilBulletCrtica"/>
      <w:lvlText w:val=""/>
      <w:lvlJc w:val="left"/>
      <w:pPr>
        <w:ind w:left="36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88168E"/>
    <w:multiLevelType w:val="hybridMultilevel"/>
    <w:tmpl w:val="73DAE30C"/>
    <w:lvl w:ilvl="0" w:tplc="025E22B8">
      <w:numFmt w:val="bullet"/>
      <w:lvlText w:val="-"/>
      <w:lvlJc w:val="left"/>
      <w:pPr>
        <w:ind w:left="1206" w:hanging="360"/>
      </w:pPr>
      <w:rPr>
        <w:rFonts w:ascii="Arial" w:eastAsia="Times New Roman" w:hAnsi="Arial" w:cs="Arial" w:hint="default"/>
      </w:rPr>
    </w:lvl>
    <w:lvl w:ilvl="1" w:tplc="041A0003" w:tentative="1">
      <w:start w:val="1"/>
      <w:numFmt w:val="bullet"/>
      <w:lvlText w:val="o"/>
      <w:lvlJc w:val="left"/>
      <w:pPr>
        <w:ind w:left="1926" w:hanging="360"/>
      </w:pPr>
      <w:rPr>
        <w:rFonts w:ascii="Courier New" w:hAnsi="Courier New" w:cs="Courier New" w:hint="default"/>
      </w:rPr>
    </w:lvl>
    <w:lvl w:ilvl="2" w:tplc="041A0005" w:tentative="1">
      <w:start w:val="1"/>
      <w:numFmt w:val="bullet"/>
      <w:lvlText w:val=""/>
      <w:lvlJc w:val="left"/>
      <w:pPr>
        <w:ind w:left="2646" w:hanging="360"/>
      </w:pPr>
      <w:rPr>
        <w:rFonts w:ascii="Wingdings" w:hAnsi="Wingdings" w:hint="default"/>
      </w:rPr>
    </w:lvl>
    <w:lvl w:ilvl="3" w:tplc="041A0001" w:tentative="1">
      <w:start w:val="1"/>
      <w:numFmt w:val="bullet"/>
      <w:lvlText w:val=""/>
      <w:lvlJc w:val="left"/>
      <w:pPr>
        <w:ind w:left="3366" w:hanging="360"/>
      </w:pPr>
      <w:rPr>
        <w:rFonts w:ascii="Symbol" w:hAnsi="Symbol" w:hint="default"/>
      </w:rPr>
    </w:lvl>
    <w:lvl w:ilvl="4" w:tplc="041A0003" w:tentative="1">
      <w:start w:val="1"/>
      <w:numFmt w:val="bullet"/>
      <w:lvlText w:val="o"/>
      <w:lvlJc w:val="left"/>
      <w:pPr>
        <w:ind w:left="4086" w:hanging="360"/>
      </w:pPr>
      <w:rPr>
        <w:rFonts w:ascii="Courier New" w:hAnsi="Courier New" w:cs="Courier New" w:hint="default"/>
      </w:rPr>
    </w:lvl>
    <w:lvl w:ilvl="5" w:tplc="041A0005" w:tentative="1">
      <w:start w:val="1"/>
      <w:numFmt w:val="bullet"/>
      <w:lvlText w:val=""/>
      <w:lvlJc w:val="left"/>
      <w:pPr>
        <w:ind w:left="4806" w:hanging="360"/>
      </w:pPr>
      <w:rPr>
        <w:rFonts w:ascii="Wingdings" w:hAnsi="Wingdings" w:hint="default"/>
      </w:rPr>
    </w:lvl>
    <w:lvl w:ilvl="6" w:tplc="041A0001" w:tentative="1">
      <w:start w:val="1"/>
      <w:numFmt w:val="bullet"/>
      <w:lvlText w:val=""/>
      <w:lvlJc w:val="left"/>
      <w:pPr>
        <w:ind w:left="5526" w:hanging="360"/>
      </w:pPr>
      <w:rPr>
        <w:rFonts w:ascii="Symbol" w:hAnsi="Symbol" w:hint="default"/>
      </w:rPr>
    </w:lvl>
    <w:lvl w:ilvl="7" w:tplc="041A0003" w:tentative="1">
      <w:start w:val="1"/>
      <w:numFmt w:val="bullet"/>
      <w:lvlText w:val="o"/>
      <w:lvlJc w:val="left"/>
      <w:pPr>
        <w:ind w:left="6246" w:hanging="360"/>
      </w:pPr>
      <w:rPr>
        <w:rFonts w:ascii="Courier New" w:hAnsi="Courier New" w:cs="Courier New" w:hint="default"/>
      </w:rPr>
    </w:lvl>
    <w:lvl w:ilvl="8" w:tplc="041A0005" w:tentative="1">
      <w:start w:val="1"/>
      <w:numFmt w:val="bullet"/>
      <w:lvlText w:val=""/>
      <w:lvlJc w:val="left"/>
      <w:pPr>
        <w:ind w:left="6966" w:hanging="360"/>
      </w:pPr>
      <w:rPr>
        <w:rFonts w:ascii="Wingdings" w:hAnsi="Wingdings" w:hint="default"/>
      </w:rPr>
    </w:lvl>
  </w:abstractNum>
  <w:abstractNum w:abstractNumId="17" w15:restartNumberingAfterBreak="0">
    <w:nsid w:val="3444646E"/>
    <w:multiLevelType w:val="hybridMultilevel"/>
    <w:tmpl w:val="8B92E99C"/>
    <w:lvl w:ilvl="0" w:tplc="70E2121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AD572A"/>
    <w:multiLevelType w:val="hybridMultilevel"/>
    <w:tmpl w:val="7780E12C"/>
    <w:lvl w:ilvl="0" w:tplc="70E2121E">
      <w:start w:val="1"/>
      <w:numFmt w:val="bullet"/>
      <w:lvlText w:val="−"/>
      <w:lvlJc w:val="left"/>
      <w:pPr>
        <w:ind w:left="720" w:hanging="360"/>
      </w:pPr>
      <w:rPr>
        <w:rFonts w:ascii="Arial" w:hAnsi="Arial" w:hint="default"/>
        <w:color w:val="31849B" w:themeColor="accent5" w:themeShade="BF"/>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0717B6"/>
    <w:multiLevelType w:val="hybridMultilevel"/>
    <w:tmpl w:val="CA022674"/>
    <w:lvl w:ilvl="0" w:tplc="EA1E067E">
      <w:numFmt w:val="bullet"/>
      <w:lvlText w:val="–"/>
      <w:lvlJc w:val="left"/>
      <w:pPr>
        <w:ind w:left="1854" w:hanging="360"/>
      </w:pPr>
      <w:rPr>
        <w:rFonts w:ascii="Microsoft Sans Serif" w:eastAsia="Microsoft Sans Serif" w:hAnsi="Microsoft Sans Serif" w:cs="Microsoft Sans Serif" w:hint="default"/>
        <w:w w:val="199"/>
        <w:sz w:val="24"/>
        <w:szCs w:val="24"/>
        <w:lang w:val="hr-HR" w:eastAsia="en-US" w:bidi="ar-SA"/>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0" w15:restartNumberingAfterBreak="0">
    <w:nsid w:val="3AA80045"/>
    <w:multiLevelType w:val="hybridMultilevel"/>
    <w:tmpl w:val="ED08E77C"/>
    <w:lvl w:ilvl="0" w:tplc="BE94EBFE">
      <w:start w:val="3"/>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1" w15:restartNumberingAfterBreak="0">
    <w:nsid w:val="3B001DA5"/>
    <w:multiLevelType w:val="hybridMultilevel"/>
    <w:tmpl w:val="BF546EBE"/>
    <w:lvl w:ilvl="0" w:tplc="53D69EC6">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3C1B0E36"/>
    <w:multiLevelType w:val="hybridMultilevel"/>
    <w:tmpl w:val="AA58886C"/>
    <w:lvl w:ilvl="0" w:tplc="14D69C60">
      <w:numFmt w:val="bullet"/>
      <w:lvlText w:val="-"/>
      <w:lvlJc w:val="left"/>
      <w:pPr>
        <w:ind w:left="922" w:hanging="360"/>
      </w:pPr>
      <w:rPr>
        <w:rFonts w:ascii="Arial" w:eastAsia="Arial" w:hAnsi="Arial" w:hint="default"/>
      </w:rPr>
    </w:lvl>
    <w:lvl w:ilvl="1" w:tplc="041A0003" w:tentative="1">
      <w:start w:val="1"/>
      <w:numFmt w:val="bullet"/>
      <w:lvlText w:val="o"/>
      <w:lvlJc w:val="left"/>
      <w:pPr>
        <w:ind w:left="1642" w:hanging="360"/>
      </w:pPr>
      <w:rPr>
        <w:rFonts w:ascii="Courier New" w:hAnsi="Courier New" w:cs="Courier New" w:hint="default"/>
      </w:rPr>
    </w:lvl>
    <w:lvl w:ilvl="2" w:tplc="041A0005" w:tentative="1">
      <w:start w:val="1"/>
      <w:numFmt w:val="bullet"/>
      <w:lvlText w:val=""/>
      <w:lvlJc w:val="left"/>
      <w:pPr>
        <w:ind w:left="2362" w:hanging="360"/>
      </w:pPr>
      <w:rPr>
        <w:rFonts w:ascii="Wingdings" w:hAnsi="Wingdings" w:hint="default"/>
      </w:rPr>
    </w:lvl>
    <w:lvl w:ilvl="3" w:tplc="041A0001" w:tentative="1">
      <w:start w:val="1"/>
      <w:numFmt w:val="bullet"/>
      <w:lvlText w:val=""/>
      <w:lvlJc w:val="left"/>
      <w:pPr>
        <w:ind w:left="3082" w:hanging="360"/>
      </w:pPr>
      <w:rPr>
        <w:rFonts w:ascii="Symbol" w:hAnsi="Symbol" w:hint="default"/>
      </w:rPr>
    </w:lvl>
    <w:lvl w:ilvl="4" w:tplc="041A0003" w:tentative="1">
      <w:start w:val="1"/>
      <w:numFmt w:val="bullet"/>
      <w:lvlText w:val="o"/>
      <w:lvlJc w:val="left"/>
      <w:pPr>
        <w:ind w:left="3802" w:hanging="360"/>
      </w:pPr>
      <w:rPr>
        <w:rFonts w:ascii="Courier New" w:hAnsi="Courier New" w:cs="Courier New" w:hint="default"/>
      </w:rPr>
    </w:lvl>
    <w:lvl w:ilvl="5" w:tplc="041A0005" w:tentative="1">
      <w:start w:val="1"/>
      <w:numFmt w:val="bullet"/>
      <w:lvlText w:val=""/>
      <w:lvlJc w:val="left"/>
      <w:pPr>
        <w:ind w:left="4522" w:hanging="360"/>
      </w:pPr>
      <w:rPr>
        <w:rFonts w:ascii="Wingdings" w:hAnsi="Wingdings" w:hint="default"/>
      </w:rPr>
    </w:lvl>
    <w:lvl w:ilvl="6" w:tplc="041A0001" w:tentative="1">
      <w:start w:val="1"/>
      <w:numFmt w:val="bullet"/>
      <w:lvlText w:val=""/>
      <w:lvlJc w:val="left"/>
      <w:pPr>
        <w:ind w:left="5242" w:hanging="360"/>
      </w:pPr>
      <w:rPr>
        <w:rFonts w:ascii="Symbol" w:hAnsi="Symbol" w:hint="default"/>
      </w:rPr>
    </w:lvl>
    <w:lvl w:ilvl="7" w:tplc="041A0003" w:tentative="1">
      <w:start w:val="1"/>
      <w:numFmt w:val="bullet"/>
      <w:lvlText w:val="o"/>
      <w:lvlJc w:val="left"/>
      <w:pPr>
        <w:ind w:left="5962" w:hanging="360"/>
      </w:pPr>
      <w:rPr>
        <w:rFonts w:ascii="Courier New" w:hAnsi="Courier New" w:cs="Courier New" w:hint="default"/>
      </w:rPr>
    </w:lvl>
    <w:lvl w:ilvl="8" w:tplc="041A0005" w:tentative="1">
      <w:start w:val="1"/>
      <w:numFmt w:val="bullet"/>
      <w:lvlText w:val=""/>
      <w:lvlJc w:val="left"/>
      <w:pPr>
        <w:ind w:left="6682" w:hanging="360"/>
      </w:pPr>
      <w:rPr>
        <w:rFonts w:ascii="Wingdings" w:hAnsi="Wingdings" w:hint="default"/>
      </w:rPr>
    </w:lvl>
  </w:abstractNum>
  <w:abstractNum w:abstractNumId="23" w15:restartNumberingAfterBreak="0">
    <w:nsid w:val="3C89224E"/>
    <w:multiLevelType w:val="hybridMultilevel"/>
    <w:tmpl w:val="4AA27D2C"/>
    <w:lvl w:ilvl="0" w:tplc="478AF9D6">
      <w:start w:val="2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21727EF"/>
    <w:multiLevelType w:val="hybridMultilevel"/>
    <w:tmpl w:val="C2388E34"/>
    <w:lvl w:ilvl="0" w:tplc="91669508">
      <w:start w:val="2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D16CBB"/>
    <w:multiLevelType w:val="hybridMultilevel"/>
    <w:tmpl w:val="031CC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73621B4"/>
    <w:multiLevelType w:val="hybridMultilevel"/>
    <w:tmpl w:val="33521846"/>
    <w:lvl w:ilvl="0" w:tplc="F5740A22">
      <w:numFmt w:val="bullet"/>
      <w:lvlText w:val="–"/>
      <w:lvlJc w:val="left"/>
      <w:pPr>
        <w:ind w:left="2064" w:hanging="360"/>
      </w:pPr>
      <w:rPr>
        <w:rFonts w:ascii="Bookman Old Style" w:eastAsia="Calibri" w:hAnsi="Bookman Old Style" w:cs="Times New Roman" w:hint="default"/>
        <w:sz w:val="24"/>
      </w:rPr>
    </w:lvl>
    <w:lvl w:ilvl="1" w:tplc="041A0003">
      <w:start w:val="1"/>
      <w:numFmt w:val="bullet"/>
      <w:lvlText w:val="o"/>
      <w:lvlJc w:val="left"/>
      <w:pPr>
        <w:ind w:left="2784" w:hanging="360"/>
      </w:pPr>
      <w:rPr>
        <w:rFonts w:ascii="Courier New" w:hAnsi="Courier New" w:cs="Courier New" w:hint="default"/>
      </w:rPr>
    </w:lvl>
    <w:lvl w:ilvl="2" w:tplc="041A0005" w:tentative="1">
      <w:start w:val="1"/>
      <w:numFmt w:val="bullet"/>
      <w:lvlText w:val=""/>
      <w:lvlJc w:val="left"/>
      <w:pPr>
        <w:ind w:left="3504" w:hanging="360"/>
      </w:pPr>
      <w:rPr>
        <w:rFonts w:ascii="Wingdings" w:hAnsi="Wingdings" w:hint="default"/>
      </w:rPr>
    </w:lvl>
    <w:lvl w:ilvl="3" w:tplc="041A0001" w:tentative="1">
      <w:start w:val="1"/>
      <w:numFmt w:val="bullet"/>
      <w:lvlText w:val=""/>
      <w:lvlJc w:val="left"/>
      <w:pPr>
        <w:ind w:left="4224" w:hanging="360"/>
      </w:pPr>
      <w:rPr>
        <w:rFonts w:ascii="Symbol" w:hAnsi="Symbol" w:hint="default"/>
      </w:rPr>
    </w:lvl>
    <w:lvl w:ilvl="4" w:tplc="041A0003" w:tentative="1">
      <w:start w:val="1"/>
      <w:numFmt w:val="bullet"/>
      <w:lvlText w:val="o"/>
      <w:lvlJc w:val="left"/>
      <w:pPr>
        <w:ind w:left="4944" w:hanging="360"/>
      </w:pPr>
      <w:rPr>
        <w:rFonts w:ascii="Courier New" w:hAnsi="Courier New" w:cs="Courier New" w:hint="default"/>
      </w:rPr>
    </w:lvl>
    <w:lvl w:ilvl="5" w:tplc="041A0005" w:tentative="1">
      <w:start w:val="1"/>
      <w:numFmt w:val="bullet"/>
      <w:lvlText w:val=""/>
      <w:lvlJc w:val="left"/>
      <w:pPr>
        <w:ind w:left="5664" w:hanging="360"/>
      </w:pPr>
      <w:rPr>
        <w:rFonts w:ascii="Wingdings" w:hAnsi="Wingdings" w:hint="default"/>
      </w:rPr>
    </w:lvl>
    <w:lvl w:ilvl="6" w:tplc="041A0001" w:tentative="1">
      <w:start w:val="1"/>
      <w:numFmt w:val="bullet"/>
      <w:lvlText w:val=""/>
      <w:lvlJc w:val="left"/>
      <w:pPr>
        <w:ind w:left="6384" w:hanging="360"/>
      </w:pPr>
      <w:rPr>
        <w:rFonts w:ascii="Symbol" w:hAnsi="Symbol" w:hint="default"/>
      </w:rPr>
    </w:lvl>
    <w:lvl w:ilvl="7" w:tplc="041A0003" w:tentative="1">
      <w:start w:val="1"/>
      <w:numFmt w:val="bullet"/>
      <w:lvlText w:val="o"/>
      <w:lvlJc w:val="left"/>
      <w:pPr>
        <w:ind w:left="7104" w:hanging="360"/>
      </w:pPr>
      <w:rPr>
        <w:rFonts w:ascii="Courier New" w:hAnsi="Courier New" w:cs="Courier New" w:hint="default"/>
      </w:rPr>
    </w:lvl>
    <w:lvl w:ilvl="8" w:tplc="041A0005" w:tentative="1">
      <w:start w:val="1"/>
      <w:numFmt w:val="bullet"/>
      <w:lvlText w:val=""/>
      <w:lvlJc w:val="left"/>
      <w:pPr>
        <w:ind w:left="7824" w:hanging="360"/>
      </w:pPr>
      <w:rPr>
        <w:rFonts w:ascii="Wingdings" w:hAnsi="Wingdings" w:hint="default"/>
      </w:rPr>
    </w:lvl>
  </w:abstractNum>
  <w:abstractNum w:abstractNumId="27" w15:restartNumberingAfterBreak="0">
    <w:nsid w:val="48232070"/>
    <w:multiLevelType w:val="hybridMultilevel"/>
    <w:tmpl w:val="38962C88"/>
    <w:lvl w:ilvl="0" w:tplc="7BFAC774">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C51046"/>
    <w:multiLevelType w:val="hybridMultilevel"/>
    <w:tmpl w:val="52168636"/>
    <w:lvl w:ilvl="0" w:tplc="65389AEC">
      <w:start w:val="5"/>
      <w:numFmt w:val="bullet"/>
      <w:lvlText w:val="–"/>
      <w:lvlJc w:val="left"/>
      <w:pPr>
        <w:ind w:left="1069" w:hanging="360"/>
      </w:pPr>
      <w:rPr>
        <w:rFonts w:ascii="Arial" w:eastAsia="Calibri" w:hAnsi="Arial" w:cs="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9" w15:restartNumberingAfterBreak="0">
    <w:nsid w:val="55C8278E"/>
    <w:multiLevelType w:val="hybridMultilevel"/>
    <w:tmpl w:val="456A8A2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57372D36"/>
    <w:multiLevelType w:val="hybridMultilevel"/>
    <w:tmpl w:val="15584EE2"/>
    <w:lvl w:ilvl="0" w:tplc="526A2FE6">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1" w15:restartNumberingAfterBreak="0">
    <w:nsid w:val="581905AD"/>
    <w:multiLevelType w:val="hybridMultilevel"/>
    <w:tmpl w:val="06DCA3C2"/>
    <w:lvl w:ilvl="0" w:tplc="BCDCDB78">
      <w:numFmt w:val="bullet"/>
      <w:lvlText w:val="-"/>
      <w:lvlJc w:val="left"/>
      <w:pPr>
        <w:ind w:left="720" w:hanging="360"/>
      </w:pPr>
      <w:rPr>
        <w:rFonts w:ascii="Times New Roman" w:eastAsiaTheme="minorHAnsi"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5E924DFC"/>
    <w:multiLevelType w:val="hybridMultilevel"/>
    <w:tmpl w:val="5792F2B6"/>
    <w:lvl w:ilvl="0" w:tplc="247035B4">
      <w:start w:val="6"/>
      <w:numFmt w:val="bullet"/>
      <w:lvlText w:val="-"/>
      <w:lvlJc w:val="left"/>
      <w:pPr>
        <w:ind w:left="927" w:hanging="360"/>
      </w:pPr>
      <w:rPr>
        <w:rFonts w:ascii="Arial" w:eastAsiaTheme="minorHAnsi" w:hAnsi="Arial" w:cs="Arial" w:hint="default"/>
      </w:rPr>
    </w:lvl>
    <w:lvl w:ilvl="1" w:tplc="041A0003">
      <w:start w:val="1"/>
      <w:numFmt w:val="bullet"/>
      <w:lvlText w:val="o"/>
      <w:lvlJc w:val="left"/>
      <w:pPr>
        <w:ind w:left="1647" w:hanging="360"/>
      </w:pPr>
      <w:rPr>
        <w:rFonts w:ascii="Courier New" w:hAnsi="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hint="default"/>
      </w:rPr>
    </w:lvl>
    <w:lvl w:ilvl="8" w:tplc="041A0005">
      <w:start w:val="1"/>
      <w:numFmt w:val="bullet"/>
      <w:lvlText w:val=""/>
      <w:lvlJc w:val="left"/>
      <w:pPr>
        <w:ind w:left="6687" w:hanging="360"/>
      </w:pPr>
      <w:rPr>
        <w:rFonts w:ascii="Wingdings" w:hAnsi="Wingdings" w:hint="default"/>
      </w:rPr>
    </w:lvl>
  </w:abstractNum>
  <w:abstractNum w:abstractNumId="33" w15:restartNumberingAfterBreak="0">
    <w:nsid w:val="66A636A6"/>
    <w:multiLevelType w:val="hybridMultilevel"/>
    <w:tmpl w:val="C9EE322E"/>
    <w:lvl w:ilvl="0" w:tplc="FBBCDFE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6027D"/>
    <w:multiLevelType w:val="hybridMultilevel"/>
    <w:tmpl w:val="68889BFE"/>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5" w15:restartNumberingAfterBreak="0">
    <w:nsid w:val="795A537B"/>
    <w:multiLevelType w:val="hybridMultilevel"/>
    <w:tmpl w:val="76284D56"/>
    <w:lvl w:ilvl="0" w:tplc="52089556">
      <w:numFmt w:val="bullet"/>
      <w:lvlText w:val="-"/>
      <w:lvlJc w:val="left"/>
      <w:pPr>
        <w:ind w:left="1287" w:hanging="36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6" w15:restartNumberingAfterBreak="0">
    <w:nsid w:val="7DF56104"/>
    <w:multiLevelType w:val="hybridMultilevel"/>
    <w:tmpl w:val="ADCCD5B4"/>
    <w:lvl w:ilvl="0" w:tplc="14D69C60">
      <w:numFmt w:val="bullet"/>
      <w:lvlText w:val="-"/>
      <w:lvlJc w:val="left"/>
      <w:pPr>
        <w:ind w:left="921" w:hanging="360"/>
      </w:pPr>
      <w:rPr>
        <w:rFonts w:ascii="Arial" w:eastAsia="Arial" w:hAnsi="Arial" w:hint="default"/>
      </w:rPr>
    </w:lvl>
    <w:lvl w:ilvl="1" w:tplc="041A0003">
      <w:start w:val="1"/>
      <w:numFmt w:val="bullet"/>
      <w:lvlText w:val="o"/>
      <w:lvlJc w:val="left"/>
      <w:pPr>
        <w:ind w:left="1641" w:hanging="360"/>
      </w:pPr>
      <w:rPr>
        <w:rFonts w:ascii="Courier New" w:hAnsi="Courier New" w:cs="Courier New" w:hint="default"/>
      </w:rPr>
    </w:lvl>
    <w:lvl w:ilvl="2" w:tplc="041A0005" w:tentative="1">
      <w:start w:val="1"/>
      <w:numFmt w:val="bullet"/>
      <w:lvlText w:val=""/>
      <w:lvlJc w:val="left"/>
      <w:pPr>
        <w:ind w:left="2361" w:hanging="360"/>
      </w:pPr>
      <w:rPr>
        <w:rFonts w:ascii="Wingdings" w:hAnsi="Wingdings" w:hint="default"/>
      </w:rPr>
    </w:lvl>
    <w:lvl w:ilvl="3" w:tplc="041A0001" w:tentative="1">
      <w:start w:val="1"/>
      <w:numFmt w:val="bullet"/>
      <w:lvlText w:val=""/>
      <w:lvlJc w:val="left"/>
      <w:pPr>
        <w:ind w:left="3081" w:hanging="360"/>
      </w:pPr>
      <w:rPr>
        <w:rFonts w:ascii="Symbol" w:hAnsi="Symbol" w:hint="default"/>
      </w:rPr>
    </w:lvl>
    <w:lvl w:ilvl="4" w:tplc="041A0003" w:tentative="1">
      <w:start w:val="1"/>
      <w:numFmt w:val="bullet"/>
      <w:lvlText w:val="o"/>
      <w:lvlJc w:val="left"/>
      <w:pPr>
        <w:ind w:left="3801" w:hanging="360"/>
      </w:pPr>
      <w:rPr>
        <w:rFonts w:ascii="Courier New" w:hAnsi="Courier New" w:cs="Courier New" w:hint="default"/>
      </w:rPr>
    </w:lvl>
    <w:lvl w:ilvl="5" w:tplc="041A0005" w:tentative="1">
      <w:start w:val="1"/>
      <w:numFmt w:val="bullet"/>
      <w:lvlText w:val=""/>
      <w:lvlJc w:val="left"/>
      <w:pPr>
        <w:ind w:left="4521" w:hanging="360"/>
      </w:pPr>
      <w:rPr>
        <w:rFonts w:ascii="Wingdings" w:hAnsi="Wingdings" w:hint="default"/>
      </w:rPr>
    </w:lvl>
    <w:lvl w:ilvl="6" w:tplc="041A0001" w:tentative="1">
      <w:start w:val="1"/>
      <w:numFmt w:val="bullet"/>
      <w:lvlText w:val=""/>
      <w:lvlJc w:val="left"/>
      <w:pPr>
        <w:ind w:left="5241" w:hanging="360"/>
      </w:pPr>
      <w:rPr>
        <w:rFonts w:ascii="Symbol" w:hAnsi="Symbol" w:hint="default"/>
      </w:rPr>
    </w:lvl>
    <w:lvl w:ilvl="7" w:tplc="041A0003" w:tentative="1">
      <w:start w:val="1"/>
      <w:numFmt w:val="bullet"/>
      <w:lvlText w:val="o"/>
      <w:lvlJc w:val="left"/>
      <w:pPr>
        <w:ind w:left="5961" w:hanging="360"/>
      </w:pPr>
      <w:rPr>
        <w:rFonts w:ascii="Courier New" w:hAnsi="Courier New" w:cs="Courier New" w:hint="default"/>
      </w:rPr>
    </w:lvl>
    <w:lvl w:ilvl="8" w:tplc="041A0005" w:tentative="1">
      <w:start w:val="1"/>
      <w:numFmt w:val="bullet"/>
      <w:lvlText w:val=""/>
      <w:lvlJc w:val="left"/>
      <w:pPr>
        <w:ind w:left="6681" w:hanging="360"/>
      </w:pPr>
      <w:rPr>
        <w:rFonts w:ascii="Wingdings" w:hAnsi="Wingdings" w:hint="default"/>
      </w:rPr>
    </w:lvl>
  </w:abstractNum>
  <w:abstractNum w:abstractNumId="37" w15:restartNumberingAfterBreak="0">
    <w:nsid w:val="7E461C5A"/>
    <w:multiLevelType w:val="hybridMultilevel"/>
    <w:tmpl w:val="B84CE2E4"/>
    <w:lvl w:ilvl="0" w:tplc="041A0001">
      <w:start w:val="1"/>
      <w:numFmt w:val="bullet"/>
      <w:lvlText w:val=""/>
      <w:lvlJc w:val="left"/>
      <w:pPr>
        <w:ind w:left="927" w:hanging="360"/>
      </w:pPr>
      <w:rPr>
        <w:rFonts w:ascii="Symbol" w:hAnsi="Symbol" w:hint="default"/>
      </w:rPr>
    </w:lvl>
    <w:lvl w:ilvl="1" w:tplc="041A0001">
      <w:start w:val="1"/>
      <w:numFmt w:val="bullet"/>
      <w:lvlText w:val=""/>
      <w:lvlJc w:val="left"/>
      <w:pPr>
        <w:ind w:left="1647" w:hanging="360"/>
      </w:pPr>
      <w:rPr>
        <w:rFonts w:ascii="Symbol" w:hAnsi="Symbol" w:hint="default"/>
      </w:rPr>
    </w:lvl>
    <w:lvl w:ilvl="2" w:tplc="041A0005">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num w:numId="1">
    <w:abstractNumId w:val="11"/>
  </w:num>
  <w:num w:numId="2">
    <w:abstractNumId w:val="9"/>
  </w:num>
  <w:num w:numId="3">
    <w:abstractNumId w:val="31"/>
  </w:num>
  <w:num w:numId="4">
    <w:abstractNumId w:val="32"/>
  </w:num>
  <w:num w:numId="5">
    <w:abstractNumId w:val="30"/>
  </w:num>
  <w:num w:numId="6">
    <w:abstractNumId w:val="20"/>
  </w:num>
  <w:num w:numId="7">
    <w:abstractNumId w:val="21"/>
  </w:num>
  <w:num w:numId="8">
    <w:abstractNumId w:val="37"/>
  </w:num>
  <w:num w:numId="9">
    <w:abstractNumId w:val="33"/>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36"/>
  </w:num>
  <w:num w:numId="15">
    <w:abstractNumId w:val="22"/>
  </w:num>
  <w:num w:numId="16">
    <w:abstractNumId w:val="22"/>
  </w:num>
  <w:num w:numId="17">
    <w:abstractNumId w:val="29"/>
  </w:num>
  <w:num w:numId="18">
    <w:abstractNumId w:val="0"/>
  </w:num>
  <w:num w:numId="19">
    <w:abstractNumId w:val="26"/>
  </w:num>
  <w:num w:numId="20">
    <w:abstractNumId w:val="15"/>
  </w:num>
  <w:num w:numId="21">
    <w:abstractNumId w:val="6"/>
  </w:num>
  <w:num w:numId="22">
    <w:abstractNumId w:val="5"/>
  </w:num>
  <w:num w:numId="23">
    <w:abstractNumId w:val="18"/>
  </w:num>
  <w:num w:numId="24">
    <w:abstractNumId w:val="25"/>
  </w:num>
  <w:num w:numId="25">
    <w:abstractNumId w:val="12"/>
  </w:num>
  <w:num w:numId="26">
    <w:abstractNumId w:val="2"/>
  </w:num>
  <w:num w:numId="27">
    <w:abstractNumId w:val="1"/>
  </w:num>
  <w:num w:numId="28">
    <w:abstractNumId w:val="27"/>
  </w:num>
  <w:num w:numId="29">
    <w:abstractNumId w:val="3"/>
  </w:num>
  <w:num w:numId="30">
    <w:abstractNumId w:val="14"/>
  </w:num>
  <w:num w:numId="31">
    <w:abstractNumId w:val="8"/>
  </w:num>
  <w:num w:numId="32">
    <w:abstractNumId w:val="16"/>
  </w:num>
  <w:num w:numId="33">
    <w:abstractNumId w:val="15"/>
  </w:num>
  <w:num w:numId="34">
    <w:abstractNumId w:val="15"/>
  </w:num>
  <w:num w:numId="35">
    <w:abstractNumId w:val="15"/>
  </w:num>
  <w:num w:numId="36">
    <w:abstractNumId w:val="24"/>
  </w:num>
  <w:num w:numId="37">
    <w:abstractNumId w:val="23"/>
  </w:num>
  <w:num w:numId="38">
    <w:abstractNumId w:val="35"/>
  </w:num>
  <w:num w:numId="39">
    <w:abstractNumId w:val="15"/>
  </w:num>
  <w:num w:numId="40">
    <w:abstractNumId w:val="17"/>
  </w:num>
  <w:num w:numId="41">
    <w:abstractNumId w:val="28"/>
  </w:num>
  <w:num w:numId="42">
    <w:abstractNumId w:val="34"/>
  </w:num>
  <w:num w:numId="43">
    <w:abstractNumId w:val="13"/>
  </w:num>
  <w:num w:numId="44">
    <w:abstractNumId w:val="3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0B"/>
    <w:rsid w:val="000003F5"/>
    <w:rsid w:val="000032B5"/>
    <w:rsid w:val="000057C9"/>
    <w:rsid w:val="00006488"/>
    <w:rsid w:val="00010004"/>
    <w:rsid w:val="000123EB"/>
    <w:rsid w:val="000141BC"/>
    <w:rsid w:val="000206A8"/>
    <w:rsid w:val="000336F3"/>
    <w:rsid w:val="0003386E"/>
    <w:rsid w:val="0003398F"/>
    <w:rsid w:val="00033C40"/>
    <w:rsid w:val="00035F8E"/>
    <w:rsid w:val="0004186B"/>
    <w:rsid w:val="000430C7"/>
    <w:rsid w:val="00043311"/>
    <w:rsid w:val="000517BE"/>
    <w:rsid w:val="00055DE4"/>
    <w:rsid w:val="000635BB"/>
    <w:rsid w:val="000639EB"/>
    <w:rsid w:val="00065FBB"/>
    <w:rsid w:val="00066EBE"/>
    <w:rsid w:val="000678CC"/>
    <w:rsid w:val="00070056"/>
    <w:rsid w:val="00070B5D"/>
    <w:rsid w:val="00071FC0"/>
    <w:rsid w:val="00072589"/>
    <w:rsid w:val="00073D66"/>
    <w:rsid w:val="00075215"/>
    <w:rsid w:val="0007650D"/>
    <w:rsid w:val="00080E20"/>
    <w:rsid w:val="00081BBB"/>
    <w:rsid w:val="00084FA5"/>
    <w:rsid w:val="00085FBB"/>
    <w:rsid w:val="000863B7"/>
    <w:rsid w:val="00090AF8"/>
    <w:rsid w:val="00091A9B"/>
    <w:rsid w:val="000922E3"/>
    <w:rsid w:val="00094103"/>
    <w:rsid w:val="000948C5"/>
    <w:rsid w:val="000A28CC"/>
    <w:rsid w:val="000A29AD"/>
    <w:rsid w:val="000A3C4B"/>
    <w:rsid w:val="000A3FB4"/>
    <w:rsid w:val="000A77CA"/>
    <w:rsid w:val="000B123C"/>
    <w:rsid w:val="000B4B36"/>
    <w:rsid w:val="000B773D"/>
    <w:rsid w:val="000B7B7D"/>
    <w:rsid w:val="000B7CCE"/>
    <w:rsid w:val="000C02F2"/>
    <w:rsid w:val="000C20C9"/>
    <w:rsid w:val="000C3031"/>
    <w:rsid w:val="000C4307"/>
    <w:rsid w:val="000C7029"/>
    <w:rsid w:val="000D06C9"/>
    <w:rsid w:val="000D1E81"/>
    <w:rsid w:val="000D2240"/>
    <w:rsid w:val="000D494C"/>
    <w:rsid w:val="000D4D51"/>
    <w:rsid w:val="000D7EE5"/>
    <w:rsid w:val="000E0084"/>
    <w:rsid w:val="000E220E"/>
    <w:rsid w:val="000E5ADF"/>
    <w:rsid w:val="000F44D6"/>
    <w:rsid w:val="000F645E"/>
    <w:rsid w:val="000F64F7"/>
    <w:rsid w:val="000F692B"/>
    <w:rsid w:val="000F74EB"/>
    <w:rsid w:val="000F76D6"/>
    <w:rsid w:val="001006DA"/>
    <w:rsid w:val="00101DAD"/>
    <w:rsid w:val="00101FA9"/>
    <w:rsid w:val="001037B9"/>
    <w:rsid w:val="00103A80"/>
    <w:rsid w:val="00103E93"/>
    <w:rsid w:val="00115C5B"/>
    <w:rsid w:val="0012209D"/>
    <w:rsid w:val="0012355C"/>
    <w:rsid w:val="00125007"/>
    <w:rsid w:val="0013576F"/>
    <w:rsid w:val="00137B07"/>
    <w:rsid w:val="00142499"/>
    <w:rsid w:val="0014274D"/>
    <w:rsid w:val="001505B6"/>
    <w:rsid w:val="0016108A"/>
    <w:rsid w:val="001612A8"/>
    <w:rsid w:val="001647EB"/>
    <w:rsid w:val="00170027"/>
    <w:rsid w:val="00171A79"/>
    <w:rsid w:val="00172967"/>
    <w:rsid w:val="001737C0"/>
    <w:rsid w:val="00173B42"/>
    <w:rsid w:val="00175519"/>
    <w:rsid w:val="00183921"/>
    <w:rsid w:val="00185A84"/>
    <w:rsid w:val="00187744"/>
    <w:rsid w:val="00187C2C"/>
    <w:rsid w:val="001945EB"/>
    <w:rsid w:val="001A60F5"/>
    <w:rsid w:val="001B31FC"/>
    <w:rsid w:val="001B3E3A"/>
    <w:rsid w:val="001B46C7"/>
    <w:rsid w:val="001B778F"/>
    <w:rsid w:val="001C2236"/>
    <w:rsid w:val="001C2CDA"/>
    <w:rsid w:val="001C5394"/>
    <w:rsid w:val="001C5412"/>
    <w:rsid w:val="001C6FB8"/>
    <w:rsid w:val="001D0D7D"/>
    <w:rsid w:val="001D4EAA"/>
    <w:rsid w:val="001D5B8A"/>
    <w:rsid w:val="001D7DFC"/>
    <w:rsid w:val="001E13EC"/>
    <w:rsid w:val="001E277F"/>
    <w:rsid w:val="001E6475"/>
    <w:rsid w:val="001F6833"/>
    <w:rsid w:val="002056DE"/>
    <w:rsid w:val="002069FF"/>
    <w:rsid w:val="002101C4"/>
    <w:rsid w:val="00210403"/>
    <w:rsid w:val="00210D8D"/>
    <w:rsid w:val="00210EAE"/>
    <w:rsid w:val="002150C3"/>
    <w:rsid w:val="0022019F"/>
    <w:rsid w:val="00221C77"/>
    <w:rsid w:val="0022694C"/>
    <w:rsid w:val="00226C3B"/>
    <w:rsid w:val="0022758E"/>
    <w:rsid w:val="0023094B"/>
    <w:rsid w:val="00231170"/>
    <w:rsid w:val="00234482"/>
    <w:rsid w:val="00236284"/>
    <w:rsid w:val="0024058F"/>
    <w:rsid w:val="002427A8"/>
    <w:rsid w:val="00245918"/>
    <w:rsid w:val="00250D45"/>
    <w:rsid w:val="0025298B"/>
    <w:rsid w:val="00252C73"/>
    <w:rsid w:val="00254244"/>
    <w:rsid w:val="002543BD"/>
    <w:rsid w:val="0025592B"/>
    <w:rsid w:val="0025716B"/>
    <w:rsid w:val="00257691"/>
    <w:rsid w:val="00257A3C"/>
    <w:rsid w:val="00263A41"/>
    <w:rsid w:val="00263C46"/>
    <w:rsid w:val="00264769"/>
    <w:rsid w:val="00267658"/>
    <w:rsid w:val="002707C4"/>
    <w:rsid w:val="00271069"/>
    <w:rsid w:val="00271585"/>
    <w:rsid w:val="00273674"/>
    <w:rsid w:val="002759F2"/>
    <w:rsid w:val="002760EF"/>
    <w:rsid w:val="002761ED"/>
    <w:rsid w:val="00277ECF"/>
    <w:rsid w:val="002802FE"/>
    <w:rsid w:val="00280698"/>
    <w:rsid w:val="002850AA"/>
    <w:rsid w:val="00286B0E"/>
    <w:rsid w:val="00291DCC"/>
    <w:rsid w:val="00291F91"/>
    <w:rsid w:val="00293AA4"/>
    <w:rsid w:val="0029606A"/>
    <w:rsid w:val="002975CB"/>
    <w:rsid w:val="00297AF5"/>
    <w:rsid w:val="00297FF4"/>
    <w:rsid w:val="002A02AC"/>
    <w:rsid w:val="002A1E91"/>
    <w:rsid w:val="002A4F02"/>
    <w:rsid w:val="002A56CB"/>
    <w:rsid w:val="002B0184"/>
    <w:rsid w:val="002B1390"/>
    <w:rsid w:val="002B40BE"/>
    <w:rsid w:val="002B50C9"/>
    <w:rsid w:val="002C2300"/>
    <w:rsid w:val="002C2B28"/>
    <w:rsid w:val="002C316E"/>
    <w:rsid w:val="002C3F6E"/>
    <w:rsid w:val="002C4C65"/>
    <w:rsid w:val="002C5AE8"/>
    <w:rsid w:val="002D40E0"/>
    <w:rsid w:val="002D7ED3"/>
    <w:rsid w:val="002E6101"/>
    <w:rsid w:val="002E6A0F"/>
    <w:rsid w:val="002E7A40"/>
    <w:rsid w:val="002F3030"/>
    <w:rsid w:val="002F3BB7"/>
    <w:rsid w:val="002F3FB8"/>
    <w:rsid w:val="002F5F8E"/>
    <w:rsid w:val="003049ED"/>
    <w:rsid w:val="003053FD"/>
    <w:rsid w:val="0030749A"/>
    <w:rsid w:val="00310690"/>
    <w:rsid w:val="00310DC0"/>
    <w:rsid w:val="00311B14"/>
    <w:rsid w:val="003151DB"/>
    <w:rsid w:val="00315480"/>
    <w:rsid w:val="00320518"/>
    <w:rsid w:val="00320F90"/>
    <w:rsid w:val="00323671"/>
    <w:rsid w:val="0032458F"/>
    <w:rsid w:val="00326486"/>
    <w:rsid w:val="00326DD7"/>
    <w:rsid w:val="00327E16"/>
    <w:rsid w:val="00333D5F"/>
    <w:rsid w:val="003363B2"/>
    <w:rsid w:val="00343D86"/>
    <w:rsid w:val="00343E22"/>
    <w:rsid w:val="0034403F"/>
    <w:rsid w:val="00345BD8"/>
    <w:rsid w:val="00346091"/>
    <w:rsid w:val="00347A48"/>
    <w:rsid w:val="00350A24"/>
    <w:rsid w:val="00350F2F"/>
    <w:rsid w:val="00357340"/>
    <w:rsid w:val="00357B16"/>
    <w:rsid w:val="003616FD"/>
    <w:rsid w:val="003627C6"/>
    <w:rsid w:val="00362A16"/>
    <w:rsid w:val="003679D5"/>
    <w:rsid w:val="003705E1"/>
    <w:rsid w:val="0037498F"/>
    <w:rsid w:val="003764AF"/>
    <w:rsid w:val="00383E47"/>
    <w:rsid w:val="0038492C"/>
    <w:rsid w:val="00384B21"/>
    <w:rsid w:val="00385E27"/>
    <w:rsid w:val="00386780"/>
    <w:rsid w:val="00387844"/>
    <w:rsid w:val="0039002F"/>
    <w:rsid w:val="003912A2"/>
    <w:rsid w:val="003923A4"/>
    <w:rsid w:val="003975C0"/>
    <w:rsid w:val="003A01F3"/>
    <w:rsid w:val="003A0ACF"/>
    <w:rsid w:val="003A30A6"/>
    <w:rsid w:val="003A5935"/>
    <w:rsid w:val="003B0372"/>
    <w:rsid w:val="003B4146"/>
    <w:rsid w:val="003C1501"/>
    <w:rsid w:val="003C4E95"/>
    <w:rsid w:val="003C5C88"/>
    <w:rsid w:val="003D0DFC"/>
    <w:rsid w:val="003E2E9C"/>
    <w:rsid w:val="003E465F"/>
    <w:rsid w:val="003E466B"/>
    <w:rsid w:val="003E46B8"/>
    <w:rsid w:val="003E5F2D"/>
    <w:rsid w:val="003E7EA4"/>
    <w:rsid w:val="003F1E2C"/>
    <w:rsid w:val="003F555C"/>
    <w:rsid w:val="003F5640"/>
    <w:rsid w:val="003F644E"/>
    <w:rsid w:val="00405454"/>
    <w:rsid w:val="00410B2A"/>
    <w:rsid w:val="004111CC"/>
    <w:rsid w:val="0041288B"/>
    <w:rsid w:val="00413735"/>
    <w:rsid w:val="004156A1"/>
    <w:rsid w:val="00420DA1"/>
    <w:rsid w:val="00421E66"/>
    <w:rsid w:val="00422D19"/>
    <w:rsid w:val="004254E0"/>
    <w:rsid w:val="00425B82"/>
    <w:rsid w:val="004301E2"/>
    <w:rsid w:val="00431F94"/>
    <w:rsid w:val="00432B2D"/>
    <w:rsid w:val="00434B56"/>
    <w:rsid w:val="004367C9"/>
    <w:rsid w:val="00437448"/>
    <w:rsid w:val="004421D6"/>
    <w:rsid w:val="00443888"/>
    <w:rsid w:val="00444F7A"/>
    <w:rsid w:val="00446A34"/>
    <w:rsid w:val="00457AF2"/>
    <w:rsid w:val="004639B8"/>
    <w:rsid w:val="00471917"/>
    <w:rsid w:val="0047567F"/>
    <w:rsid w:val="00475F3E"/>
    <w:rsid w:val="00483345"/>
    <w:rsid w:val="00490F3F"/>
    <w:rsid w:val="004967E3"/>
    <w:rsid w:val="00497A88"/>
    <w:rsid w:val="004A313D"/>
    <w:rsid w:val="004A452E"/>
    <w:rsid w:val="004A4CE0"/>
    <w:rsid w:val="004B009D"/>
    <w:rsid w:val="004B3644"/>
    <w:rsid w:val="004B650C"/>
    <w:rsid w:val="004B6C6B"/>
    <w:rsid w:val="004C4161"/>
    <w:rsid w:val="004C48F3"/>
    <w:rsid w:val="004C6299"/>
    <w:rsid w:val="004C703D"/>
    <w:rsid w:val="004D0529"/>
    <w:rsid w:val="004D05E9"/>
    <w:rsid w:val="004D1A26"/>
    <w:rsid w:val="004D2D5D"/>
    <w:rsid w:val="004D5054"/>
    <w:rsid w:val="004E6097"/>
    <w:rsid w:val="004E7A88"/>
    <w:rsid w:val="004E7E5C"/>
    <w:rsid w:val="004F0C09"/>
    <w:rsid w:val="004F3623"/>
    <w:rsid w:val="004F37DC"/>
    <w:rsid w:val="004F41D0"/>
    <w:rsid w:val="004F42C9"/>
    <w:rsid w:val="004F4416"/>
    <w:rsid w:val="004F445A"/>
    <w:rsid w:val="004F4646"/>
    <w:rsid w:val="005007D3"/>
    <w:rsid w:val="005008CB"/>
    <w:rsid w:val="00503FEA"/>
    <w:rsid w:val="00504997"/>
    <w:rsid w:val="00505145"/>
    <w:rsid w:val="00512AE3"/>
    <w:rsid w:val="00520A57"/>
    <w:rsid w:val="00521CAE"/>
    <w:rsid w:val="00523AEC"/>
    <w:rsid w:val="00524549"/>
    <w:rsid w:val="00525574"/>
    <w:rsid w:val="0052621D"/>
    <w:rsid w:val="0052678B"/>
    <w:rsid w:val="00526E8F"/>
    <w:rsid w:val="00530857"/>
    <w:rsid w:val="00531BEE"/>
    <w:rsid w:val="00535CA2"/>
    <w:rsid w:val="00536163"/>
    <w:rsid w:val="005415F8"/>
    <w:rsid w:val="0054344A"/>
    <w:rsid w:val="005460C8"/>
    <w:rsid w:val="00547AA1"/>
    <w:rsid w:val="005521BA"/>
    <w:rsid w:val="00552523"/>
    <w:rsid w:val="00552DDE"/>
    <w:rsid w:val="00557026"/>
    <w:rsid w:val="00566290"/>
    <w:rsid w:val="0057402D"/>
    <w:rsid w:val="005743DD"/>
    <w:rsid w:val="00575834"/>
    <w:rsid w:val="00577D9C"/>
    <w:rsid w:val="00581276"/>
    <w:rsid w:val="00581FF3"/>
    <w:rsid w:val="00582907"/>
    <w:rsid w:val="005838E6"/>
    <w:rsid w:val="00584413"/>
    <w:rsid w:val="00584BE5"/>
    <w:rsid w:val="00584D89"/>
    <w:rsid w:val="00584E43"/>
    <w:rsid w:val="00592D39"/>
    <w:rsid w:val="00594CD9"/>
    <w:rsid w:val="00596EAB"/>
    <w:rsid w:val="00597D61"/>
    <w:rsid w:val="005A1E4B"/>
    <w:rsid w:val="005B1324"/>
    <w:rsid w:val="005B384C"/>
    <w:rsid w:val="005B6DAE"/>
    <w:rsid w:val="005C2626"/>
    <w:rsid w:val="005C4BD6"/>
    <w:rsid w:val="005C5C55"/>
    <w:rsid w:val="005D01AA"/>
    <w:rsid w:val="005D2ED6"/>
    <w:rsid w:val="005D398E"/>
    <w:rsid w:val="005D55A9"/>
    <w:rsid w:val="005E4C07"/>
    <w:rsid w:val="005E7210"/>
    <w:rsid w:val="005F34DE"/>
    <w:rsid w:val="005F4947"/>
    <w:rsid w:val="005F4D22"/>
    <w:rsid w:val="00600A72"/>
    <w:rsid w:val="006040A4"/>
    <w:rsid w:val="00604F6F"/>
    <w:rsid w:val="00606DA4"/>
    <w:rsid w:val="00610D59"/>
    <w:rsid w:val="00611449"/>
    <w:rsid w:val="006128F8"/>
    <w:rsid w:val="00617D9F"/>
    <w:rsid w:val="00623DA3"/>
    <w:rsid w:val="00624CFF"/>
    <w:rsid w:val="0062538A"/>
    <w:rsid w:val="006302D5"/>
    <w:rsid w:val="0063131B"/>
    <w:rsid w:val="0063246E"/>
    <w:rsid w:val="00635B8A"/>
    <w:rsid w:val="00635CB1"/>
    <w:rsid w:val="00636FD5"/>
    <w:rsid w:val="006371DA"/>
    <w:rsid w:val="0064070C"/>
    <w:rsid w:val="00642AA2"/>
    <w:rsid w:val="00644BA3"/>
    <w:rsid w:val="00647E28"/>
    <w:rsid w:val="00651090"/>
    <w:rsid w:val="006524DB"/>
    <w:rsid w:val="006532F1"/>
    <w:rsid w:val="00660A8D"/>
    <w:rsid w:val="00665C35"/>
    <w:rsid w:val="00667C12"/>
    <w:rsid w:val="006705F9"/>
    <w:rsid w:val="00672D99"/>
    <w:rsid w:val="00674264"/>
    <w:rsid w:val="00674AE7"/>
    <w:rsid w:val="006814CA"/>
    <w:rsid w:val="00682DCC"/>
    <w:rsid w:val="006855E8"/>
    <w:rsid w:val="006857E1"/>
    <w:rsid w:val="00693E08"/>
    <w:rsid w:val="006948BA"/>
    <w:rsid w:val="00697549"/>
    <w:rsid w:val="006A0856"/>
    <w:rsid w:val="006A1F52"/>
    <w:rsid w:val="006A3738"/>
    <w:rsid w:val="006A48B6"/>
    <w:rsid w:val="006A527B"/>
    <w:rsid w:val="006A6F36"/>
    <w:rsid w:val="006B2000"/>
    <w:rsid w:val="006B2090"/>
    <w:rsid w:val="006B72FA"/>
    <w:rsid w:val="006C0769"/>
    <w:rsid w:val="006C1BD8"/>
    <w:rsid w:val="006C3271"/>
    <w:rsid w:val="006D0436"/>
    <w:rsid w:val="006D18E1"/>
    <w:rsid w:val="006D1FA4"/>
    <w:rsid w:val="006D2CA5"/>
    <w:rsid w:val="006D4315"/>
    <w:rsid w:val="006D4859"/>
    <w:rsid w:val="006D656A"/>
    <w:rsid w:val="006D6A5F"/>
    <w:rsid w:val="006E13A0"/>
    <w:rsid w:val="006E2EB5"/>
    <w:rsid w:val="006E5A34"/>
    <w:rsid w:val="006F16DD"/>
    <w:rsid w:val="006F410A"/>
    <w:rsid w:val="006F5988"/>
    <w:rsid w:val="006F60AD"/>
    <w:rsid w:val="006F6AA3"/>
    <w:rsid w:val="006F73A0"/>
    <w:rsid w:val="006F7E1A"/>
    <w:rsid w:val="00700ADE"/>
    <w:rsid w:val="0070433A"/>
    <w:rsid w:val="0070526F"/>
    <w:rsid w:val="007121FA"/>
    <w:rsid w:val="0071772C"/>
    <w:rsid w:val="007217A4"/>
    <w:rsid w:val="00723061"/>
    <w:rsid w:val="00723ADF"/>
    <w:rsid w:val="00724795"/>
    <w:rsid w:val="0072606C"/>
    <w:rsid w:val="00730DDB"/>
    <w:rsid w:val="0073104E"/>
    <w:rsid w:val="007315CA"/>
    <w:rsid w:val="00731B55"/>
    <w:rsid w:val="00733F2C"/>
    <w:rsid w:val="00735723"/>
    <w:rsid w:val="00735DE4"/>
    <w:rsid w:val="007363C2"/>
    <w:rsid w:val="00740FD1"/>
    <w:rsid w:val="00741C32"/>
    <w:rsid w:val="00741CA6"/>
    <w:rsid w:val="00744BDC"/>
    <w:rsid w:val="007567FD"/>
    <w:rsid w:val="007601FC"/>
    <w:rsid w:val="00761E81"/>
    <w:rsid w:val="00762DD9"/>
    <w:rsid w:val="00765AEA"/>
    <w:rsid w:val="00766B66"/>
    <w:rsid w:val="00773410"/>
    <w:rsid w:val="00776758"/>
    <w:rsid w:val="0079058B"/>
    <w:rsid w:val="00794D8D"/>
    <w:rsid w:val="00794DEF"/>
    <w:rsid w:val="007A1413"/>
    <w:rsid w:val="007A5B5D"/>
    <w:rsid w:val="007A77E2"/>
    <w:rsid w:val="007B0CC0"/>
    <w:rsid w:val="007B3AA9"/>
    <w:rsid w:val="007B6BDB"/>
    <w:rsid w:val="007B78FF"/>
    <w:rsid w:val="007C05D7"/>
    <w:rsid w:val="007C3102"/>
    <w:rsid w:val="007D0A88"/>
    <w:rsid w:val="007D2812"/>
    <w:rsid w:val="007D4E7C"/>
    <w:rsid w:val="007D60EF"/>
    <w:rsid w:val="007E5475"/>
    <w:rsid w:val="007E73D9"/>
    <w:rsid w:val="007F17A8"/>
    <w:rsid w:val="007F3F29"/>
    <w:rsid w:val="007F59D8"/>
    <w:rsid w:val="008002FA"/>
    <w:rsid w:val="008006F5"/>
    <w:rsid w:val="00800A2B"/>
    <w:rsid w:val="00801C9F"/>
    <w:rsid w:val="008021F9"/>
    <w:rsid w:val="00802A79"/>
    <w:rsid w:val="00803925"/>
    <w:rsid w:val="0080789E"/>
    <w:rsid w:val="00810291"/>
    <w:rsid w:val="00815C98"/>
    <w:rsid w:val="00820735"/>
    <w:rsid w:val="008220FA"/>
    <w:rsid w:val="00830F2E"/>
    <w:rsid w:val="0083227F"/>
    <w:rsid w:val="00835E4D"/>
    <w:rsid w:val="008404B7"/>
    <w:rsid w:val="00842AA3"/>
    <w:rsid w:val="008454C5"/>
    <w:rsid w:val="0085184E"/>
    <w:rsid w:val="00852148"/>
    <w:rsid w:val="008548B8"/>
    <w:rsid w:val="00862733"/>
    <w:rsid w:val="00864F68"/>
    <w:rsid w:val="00867635"/>
    <w:rsid w:val="00871F13"/>
    <w:rsid w:val="00872607"/>
    <w:rsid w:val="00880AF3"/>
    <w:rsid w:val="00881C61"/>
    <w:rsid w:val="00892057"/>
    <w:rsid w:val="00892B37"/>
    <w:rsid w:val="00892DE8"/>
    <w:rsid w:val="008A00B8"/>
    <w:rsid w:val="008A03FD"/>
    <w:rsid w:val="008A06A5"/>
    <w:rsid w:val="008A2493"/>
    <w:rsid w:val="008A2865"/>
    <w:rsid w:val="008A7AC6"/>
    <w:rsid w:val="008B190F"/>
    <w:rsid w:val="008B2444"/>
    <w:rsid w:val="008B3BE9"/>
    <w:rsid w:val="008B3CFC"/>
    <w:rsid w:val="008B616E"/>
    <w:rsid w:val="008C1850"/>
    <w:rsid w:val="008C53BB"/>
    <w:rsid w:val="008D22CD"/>
    <w:rsid w:val="008D5BD5"/>
    <w:rsid w:val="008D7BC2"/>
    <w:rsid w:val="008E0292"/>
    <w:rsid w:val="008E3C10"/>
    <w:rsid w:val="008E4E19"/>
    <w:rsid w:val="008E5D29"/>
    <w:rsid w:val="008F4732"/>
    <w:rsid w:val="008F625D"/>
    <w:rsid w:val="008F7955"/>
    <w:rsid w:val="00902B3D"/>
    <w:rsid w:val="00904B77"/>
    <w:rsid w:val="009065B1"/>
    <w:rsid w:val="00907406"/>
    <w:rsid w:val="0091152E"/>
    <w:rsid w:val="0091271B"/>
    <w:rsid w:val="0091280B"/>
    <w:rsid w:val="0091654B"/>
    <w:rsid w:val="0092006A"/>
    <w:rsid w:val="0092422C"/>
    <w:rsid w:val="009270F2"/>
    <w:rsid w:val="0093159F"/>
    <w:rsid w:val="00933EAB"/>
    <w:rsid w:val="00934380"/>
    <w:rsid w:val="00935551"/>
    <w:rsid w:val="00936BCB"/>
    <w:rsid w:val="009414D9"/>
    <w:rsid w:val="00942B04"/>
    <w:rsid w:val="00946CB1"/>
    <w:rsid w:val="00951688"/>
    <w:rsid w:val="00951A71"/>
    <w:rsid w:val="00951E6D"/>
    <w:rsid w:val="00952B63"/>
    <w:rsid w:val="00957784"/>
    <w:rsid w:val="00967336"/>
    <w:rsid w:val="0096779E"/>
    <w:rsid w:val="009703E1"/>
    <w:rsid w:val="00971763"/>
    <w:rsid w:val="0097224F"/>
    <w:rsid w:val="0097263D"/>
    <w:rsid w:val="009745AE"/>
    <w:rsid w:val="009805EA"/>
    <w:rsid w:val="00981BFB"/>
    <w:rsid w:val="009829EA"/>
    <w:rsid w:val="009857E5"/>
    <w:rsid w:val="00987EFA"/>
    <w:rsid w:val="009913F8"/>
    <w:rsid w:val="009917E6"/>
    <w:rsid w:val="00992FA8"/>
    <w:rsid w:val="0099395D"/>
    <w:rsid w:val="0099501B"/>
    <w:rsid w:val="009A5F64"/>
    <w:rsid w:val="009A73C7"/>
    <w:rsid w:val="009B06DF"/>
    <w:rsid w:val="009B0BA3"/>
    <w:rsid w:val="009B15E4"/>
    <w:rsid w:val="009B2D05"/>
    <w:rsid w:val="009B2FBF"/>
    <w:rsid w:val="009B4252"/>
    <w:rsid w:val="009B53A6"/>
    <w:rsid w:val="009C11D5"/>
    <w:rsid w:val="009C280C"/>
    <w:rsid w:val="009C5463"/>
    <w:rsid w:val="009C6CB2"/>
    <w:rsid w:val="009C7088"/>
    <w:rsid w:val="009D2626"/>
    <w:rsid w:val="009D3E48"/>
    <w:rsid w:val="009D5C55"/>
    <w:rsid w:val="009D67A8"/>
    <w:rsid w:val="009E0DCD"/>
    <w:rsid w:val="009E13F4"/>
    <w:rsid w:val="009E2DC9"/>
    <w:rsid w:val="009E4B68"/>
    <w:rsid w:val="009E5373"/>
    <w:rsid w:val="009F175F"/>
    <w:rsid w:val="009F24E2"/>
    <w:rsid w:val="009F4D05"/>
    <w:rsid w:val="009F5E39"/>
    <w:rsid w:val="009F6BD3"/>
    <w:rsid w:val="00A051AD"/>
    <w:rsid w:val="00A07603"/>
    <w:rsid w:val="00A13B54"/>
    <w:rsid w:val="00A16990"/>
    <w:rsid w:val="00A23D9C"/>
    <w:rsid w:val="00A24710"/>
    <w:rsid w:val="00A25174"/>
    <w:rsid w:val="00A25FC5"/>
    <w:rsid w:val="00A34A14"/>
    <w:rsid w:val="00A3702C"/>
    <w:rsid w:val="00A4201B"/>
    <w:rsid w:val="00A42151"/>
    <w:rsid w:val="00A43C2E"/>
    <w:rsid w:val="00A44FDC"/>
    <w:rsid w:val="00A46A36"/>
    <w:rsid w:val="00A47946"/>
    <w:rsid w:val="00A54DE6"/>
    <w:rsid w:val="00A54FF9"/>
    <w:rsid w:val="00A56251"/>
    <w:rsid w:val="00A57F08"/>
    <w:rsid w:val="00A62BBD"/>
    <w:rsid w:val="00A655AC"/>
    <w:rsid w:val="00A66897"/>
    <w:rsid w:val="00A67A8B"/>
    <w:rsid w:val="00A70FFB"/>
    <w:rsid w:val="00A742BB"/>
    <w:rsid w:val="00A768B2"/>
    <w:rsid w:val="00A80269"/>
    <w:rsid w:val="00A81C24"/>
    <w:rsid w:val="00A85B1A"/>
    <w:rsid w:val="00A86F69"/>
    <w:rsid w:val="00A87482"/>
    <w:rsid w:val="00A92DCC"/>
    <w:rsid w:val="00A933EE"/>
    <w:rsid w:val="00A93C4B"/>
    <w:rsid w:val="00A97886"/>
    <w:rsid w:val="00AA5EA0"/>
    <w:rsid w:val="00AB13E8"/>
    <w:rsid w:val="00AB1756"/>
    <w:rsid w:val="00AB1791"/>
    <w:rsid w:val="00AB1974"/>
    <w:rsid w:val="00AB1DEA"/>
    <w:rsid w:val="00AB6511"/>
    <w:rsid w:val="00AC1076"/>
    <w:rsid w:val="00AC2BFD"/>
    <w:rsid w:val="00AC4FB5"/>
    <w:rsid w:val="00AC50B5"/>
    <w:rsid w:val="00AC6F2A"/>
    <w:rsid w:val="00AC7429"/>
    <w:rsid w:val="00AD0FB2"/>
    <w:rsid w:val="00AD4018"/>
    <w:rsid w:val="00AD4504"/>
    <w:rsid w:val="00AE1B78"/>
    <w:rsid w:val="00AE268E"/>
    <w:rsid w:val="00AE4229"/>
    <w:rsid w:val="00AF339E"/>
    <w:rsid w:val="00AF6710"/>
    <w:rsid w:val="00AF6ED7"/>
    <w:rsid w:val="00B0479F"/>
    <w:rsid w:val="00B050EB"/>
    <w:rsid w:val="00B15752"/>
    <w:rsid w:val="00B159F6"/>
    <w:rsid w:val="00B162D0"/>
    <w:rsid w:val="00B1695B"/>
    <w:rsid w:val="00B17E52"/>
    <w:rsid w:val="00B20792"/>
    <w:rsid w:val="00B21C4A"/>
    <w:rsid w:val="00B22537"/>
    <w:rsid w:val="00B25F77"/>
    <w:rsid w:val="00B273E8"/>
    <w:rsid w:val="00B32C98"/>
    <w:rsid w:val="00B3701A"/>
    <w:rsid w:val="00B43908"/>
    <w:rsid w:val="00B460BD"/>
    <w:rsid w:val="00B50EE7"/>
    <w:rsid w:val="00B50F0F"/>
    <w:rsid w:val="00B56DF6"/>
    <w:rsid w:val="00B603E2"/>
    <w:rsid w:val="00B6607B"/>
    <w:rsid w:val="00B66916"/>
    <w:rsid w:val="00B672D2"/>
    <w:rsid w:val="00B67F45"/>
    <w:rsid w:val="00B7028C"/>
    <w:rsid w:val="00B744F0"/>
    <w:rsid w:val="00B74CA4"/>
    <w:rsid w:val="00B776A6"/>
    <w:rsid w:val="00B80344"/>
    <w:rsid w:val="00B83B6D"/>
    <w:rsid w:val="00B84038"/>
    <w:rsid w:val="00B87B0A"/>
    <w:rsid w:val="00B90ACF"/>
    <w:rsid w:val="00B928D7"/>
    <w:rsid w:val="00B93BD0"/>
    <w:rsid w:val="00B93D02"/>
    <w:rsid w:val="00B94B42"/>
    <w:rsid w:val="00B94CE9"/>
    <w:rsid w:val="00B95CF3"/>
    <w:rsid w:val="00BA08E7"/>
    <w:rsid w:val="00BA193F"/>
    <w:rsid w:val="00BA3E56"/>
    <w:rsid w:val="00BA6532"/>
    <w:rsid w:val="00BB2690"/>
    <w:rsid w:val="00BB3754"/>
    <w:rsid w:val="00BB4B1B"/>
    <w:rsid w:val="00BB5644"/>
    <w:rsid w:val="00BB5F26"/>
    <w:rsid w:val="00BC26DF"/>
    <w:rsid w:val="00BC3025"/>
    <w:rsid w:val="00BD0FB0"/>
    <w:rsid w:val="00BD7D88"/>
    <w:rsid w:val="00BE006A"/>
    <w:rsid w:val="00BE0915"/>
    <w:rsid w:val="00BE4CE1"/>
    <w:rsid w:val="00BE527B"/>
    <w:rsid w:val="00BE6193"/>
    <w:rsid w:val="00BE7F60"/>
    <w:rsid w:val="00BF0482"/>
    <w:rsid w:val="00BF0F8E"/>
    <w:rsid w:val="00BF256A"/>
    <w:rsid w:val="00BF3CD9"/>
    <w:rsid w:val="00BF708B"/>
    <w:rsid w:val="00C00A74"/>
    <w:rsid w:val="00C02635"/>
    <w:rsid w:val="00C11533"/>
    <w:rsid w:val="00C14E14"/>
    <w:rsid w:val="00C21B9F"/>
    <w:rsid w:val="00C27AC6"/>
    <w:rsid w:val="00C314B4"/>
    <w:rsid w:val="00C318C5"/>
    <w:rsid w:val="00C37556"/>
    <w:rsid w:val="00C37A51"/>
    <w:rsid w:val="00C40CE7"/>
    <w:rsid w:val="00C42134"/>
    <w:rsid w:val="00C428D2"/>
    <w:rsid w:val="00C42A2B"/>
    <w:rsid w:val="00C4406D"/>
    <w:rsid w:val="00C4477F"/>
    <w:rsid w:val="00C50A0E"/>
    <w:rsid w:val="00C53F2F"/>
    <w:rsid w:val="00C5572F"/>
    <w:rsid w:val="00C5748A"/>
    <w:rsid w:val="00C62C72"/>
    <w:rsid w:val="00C70FE3"/>
    <w:rsid w:val="00C7546E"/>
    <w:rsid w:val="00C81F8D"/>
    <w:rsid w:val="00C824BF"/>
    <w:rsid w:val="00C82A1F"/>
    <w:rsid w:val="00C82F93"/>
    <w:rsid w:val="00C86BBB"/>
    <w:rsid w:val="00C86F28"/>
    <w:rsid w:val="00C87441"/>
    <w:rsid w:val="00C901F6"/>
    <w:rsid w:val="00C946A0"/>
    <w:rsid w:val="00C963A1"/>
    <w:rsid w:val="00CA0810"/>
    <w:rsid w:val="00CA0A18"/>
    <w:rsid w:val="00CA0B6D"/>
    <w:rsid w:val="00CA3415"/>
    <w:rsid w:val="00CA4C35"/>
    <w:rsid w:val="00CB27FC"/>
    <w:rsid w:val="00CB4D25"/>
    <w:rsid w:val="00CB7E95"/>
    <w:rsid w:val="00CC0DFD"/>
    <w:rsid w:val="00CD08D8"/>
    <w:rsid w:val="00CD0AE7"/>
    <w:rsid w:val="00CD3834"/>
    <w:rsid w:val="00CD7ADF"/>
    <w:rsid w:val="00CE146E"/>
    <w:rsid w:val="00CE3139"/>
    <w:rsid w:val="00CE4AC6"/>
    <w:rsid w:val="00CE7679"/>
    <w:rsid w:val="00CE7DC1"/>
    <w:rsid w:val="00CF4D53"/>
    <w:rsid w:val="00CF5D3B"/>
    <w:rsid w:val="00D01510"/>
    <w:rsid w:val="00D043DD"/>
    <w:rsid w:val="00D05289"/>
    <w:rsid w:val="00D063F1"/>
    <w:rsid w:val="00D06639"/>
    <w:rsid w:val="00D10301"/>
    <w:rsid w:val="00D14F18"/>
    <w:rsid w:val="00D14F3D"/>
    <w:rsid w:val="00D1646C"/>
    <w:rsid w:val="00D20266"/>
    <w:rsid w:val="00D2467D"/>
    <w:rsid w:val="00D307EE"/>
    <w:rsid w:val="00D31330"/>
    <w:rsid w:val="00D316F9"/>
    <w:rsid w:val="00D32A88"/>
    <w:rsid w:val="00D33BDE"/>
    <w:rsid w:val="00D33C50"/>
    <w:rsid w:val="00D341B4"/>
    <w:rsid w:val="00D36482"/>
    <w:rsid w:val="00D4094A"/>
    <w:rsid w:val="00D43177"/>
    <w:rsid w:val="00D527F1"/>
    <w:rsid w:val="00D52F33"/>
    <w:rsid w:val="00D53A41"/>
    <w:rsid w:val="00D5529E"/>
    <w:rsid w:val="00D561B9"/>
    <w:rsid w:val="00D60BCD"/>
    <w:rsid w:val="00D64F2D"/>
    <w:rsid w:val="00D6746C"/>
    <w:rsid w:val="00D705A5"/>
    <w:rsid w:val="00D70D20"/>
    <w:rsid w:val="00D72B2F"/>
    <w:rsid w:val="00D7419B"/>
    <w:rsid w:val="00D77C35"/>
    <w:rsid w:val="00D8184B"/>
    <w:rsid w:val="00D82FA6"/>
    <w:rsid w:val="00D87125"/>
    <w:rsid w:val="00D871F8"/>
    <w:rsid w:val="00D90DAE"/>
    <w:rsid w:val="00D911AE"/>
    <w:rsid w:val="00D93E03"/>
    <w:rsid w:val="00DA03B9"/>
    <w:rsid w:val="00DA3E36"/>
    <w:rsid w:val="00DA5017"/>
    <w:rsid w:val="00DA54CF"/>
    <w:rsid w:val="00DA5846"/>
    <w:rsid w:val="00DA7D59"/>
    <w:rsid w:val="00DB03E0"/>
    <w:rsid w:val="00DB2C3B"/>
    <w:rsid w:val="00DB40D7"/>
    <w:rsid w:val="00DB43F3"/>
    <w:rsid w:val="00DB7496"/>
    <w:rsid w:val="00DB7DDB"/>
    <w:rsid w:val="00DC1E93"/>
    <w:rsid w:val="00DC1FA5"/>
    <w:rsid w:val="00DC7008"/>
    <w:rsid w:val="00DC7D8D"/>
    <w:rsid w:val="00DD0639"/>
    <w:rsid w:val="00DD2A94"/>
    <w:rsid w:val="00DE111A"/>
    <w:rsid w:val="00DE236C"/>
    <w:rsid w:val="00DE5F49"/>
    <w:rsid w:val="00DE7DC5"/>
    <w:rsid w:val="00DF20C4"/>
    <w:rsid w:val="00DF4320"/>
    <w:rsid w:val="00DF4656"/>
    <w:rsid w:val="00E02766"/>
    <w:rsid w:val="00E0335E"/>
    <w:rsid w:val="00E034E7"/>
    <w:rsid w:val="00E03E9C"/>
    <w:rsid w:val="00E0558A"/>
    <w:rsid w:val="00E079C0"/>
    <w:rsid w:val="00E113C5"/>
    <w:rsid w:val="00E118A5"/>
    <w:rsid w:val="00E14BF8"/>
    <w:rsid w:val="00E167B6"/>
    <w:rsid w:val="00E16C49"/>
    <w:rsid w:val="00E17B47"/>
    <w:rsid w:val="00E2022F"/>
    <w:rsid w:val="00E25034"/>
    <w:rsid w:val="00E30514"/>
    <w:rsid w:val="00E30CED"/>
    <w:rsid w:val="00E32A94"/>
    <w:rsid w:val="00E3365D"/>
    <w:rsid w:val="00E35C24"/>
    <w:rsid w:val="00E3735D"/>
    <w:rsid w:val="00E40C98"/>
    <w:rsid w:val="00E4245B"/>
    <w:rsid w:val="00E42549"/>
    <w:rsid w:val="00E431F2"/>
    <w:rsid w:val="00E439BF"/>
    <w:rsid w:val="00E502F7"/>
    <w:rsid w:val="00E504E0"/>
    <w:rsid w:val="00E533EA"/>
    <w:rsid w:val="00E61681"/>
    <w:rsid w:val="00E62BCB"/>
    <w:rsid w:val="00E637C7"/>
    <w:rsid w:val="00E63B38"/>
    <w:rsid w:val="00E72170"/>
    <w:rsid w:val="00E74D2A"/>
    <w:rsid w:val="00E7602B"/>
    <w:rsid w:val="00E82024"/>
    <w:rsid w:val="00E8360F"/>
    <w:rsid w:val="00E87420"/>
    <w:rsid w:val="00E87C78"/>
    <w:rsid w:val="00E9097A"/>
    <w:rsid w:val="00E9759C"/>
    <w:rsid w:val="00EA1315"/>
    <w:rsid w:val="00EA6A64"/>
    <w:rsid w:val="00EB0B50"/>
    <w:rsid w:val="00EB1442"/>
    <w:rsid w:val="00EB1476"/>
    <w:rsid w:val="00EB3C61"/>
    <w:rsid w:val="00EB76FE"/>
    <w:rsid w:val="00EC01BB"/>
    <w:rsid w:val="00EC1142"/>
    <w:rsid w:val="00EC1802"/>
    <w:rsid w:val="00EC1DA7"/>
    <w:rsid w:val="00EC6743"/>
    <w:rsid w:val="00ED009C"/>
    <w:rsid w:val="00ED0AE0"/>
    <w:rsid w:val="00ED0D87"/>
    <w:rsid w:val="00ED31EA"/>
    <w:rsid w:val="00EE146A"/>
    <w:rsid w:val="00EE1E71"/>
    <w:rsid w:val="00EE3884"/>
    <w:rsid w:val="00EE4A88"/>
    <w:rsid w:val="00EE4F46"/>
    <w:rsid w:val="00EF5525"/>
    <w:rsid w:val="00EF7FF6"/>
    <w:rsid w:val="00F0518E"/>
    <w:rsid w:val="00F06AF1"/>
    <w:rsid w:val="00F1067A"/>
    <w:rsid w:val="00F13FE6"/>
    <w:rsid w:val="00F17B28"/>
    <w:rsid w:val="00F20E15"/>
    <w:rsid w:val="00F223B0"/>
    <w:rsid w:val="00F23BB3"/>
    <w:rsid w:val="00F24CD0"/>
    <w:rsid w:val="00F253AF"/>
    <w:rsid w:val="00F25708"/>
    <w:rsid w:val="00F25B8F"/>
    <w:rsid w:val="00F31175"/>
    <w:rsid w:val="00F3671D"/>
    <w:rsid w:val="00F36E1E"/>
    <w:rsid w:val="00F3728F"/>
    <w:rsid w:val="00F377AF"/>
    <w:rsid w:val="00F42222"/>
    <w:rsid w:val="00F45A2C"/>
    <w:rsid w:val="00F45FA5"/>
    <w:rsid w:val="00F46264"/>
    <w:rsid w:val="00F46EB9"/>
    <w:rsid w:val="00F471AA"/>
    <w:rsid w:val="00F50281"/>
    <w:rsid w:val="00F5062B"/>
    <w:rsid w:val="00F517BC"/>
    <w:rsid w:val="00F51848"/>
    <w:rsid w:val="00F51A4E"/>
    <w:rsid w:val="00F5240B"/>
    <w:rsid w:val="00F53869"/>
    <w:rsid w:val="00F55C8E"/>
    <w:rsid w:val="00F61CCD"/>
    <w:rsid w:val="00F636EA"/>
    <w:rsid w:val="00F657DE"/>
    <w:rsid w:val="00F70D77"/>
    <w:rsid w:val="00F70F4E"/>
    <w:rsid w:val="00F73153"/>
    <w:rsid w:val="00F90923"/>
    <w:rsid w:val="00F91025"/>
    <w:rsid w:val="00F94254"/>
    <w:rsid w:val="00F966E8"/>
    <w:rsid w:val="00FA017D"/>
    <w:rsid w:val="00FA426E"/>
    <w:rsid w:val="00FA7B83"/>
    <w:rsid w:val="00FA7EC3"/>
    <w:rsid w:val="00FB08E7"/>
    <w:rsid w:val="00FB3498"/>
    <w:rsid w:val="00FB3B44"/>
    <w:rsid w:val="00FB62B0"/>
    <w:rsid w:val="00FE0148"/>
    <w:rsid w:val="00FE0251"/>
    <w:rsid w:val="00FE1DDC"/>
    <w:rsid w:val="00FE711E"/>
    <w:rsid w:val="00FF0F32"/>
    <w:rsid w:val="00FF13F4"/>
    <w:rsid w:val="00FF57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7AF12"/>
  <w15:docId w15:val="{4125C0D4-062F-43E9-9926-BB749BF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71"/>
    <w:pPr>
      <w:widowControl w:val="0"/>
      <w:autoSpaceDE w:val="0"/>
      <w:autoSpaceDN w:val="0"/>
      <w:adjustRightInd w:val="0"/>
      <w:jc w:val="both"/>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51A71"/>
    <w:rPr>
      <w:rFonts w:ascii="Tahoma" w:hAnsi="Tahoma" w:cs="Tahoma"/>
      <w:sz w:val="16"/>
      <w:szCs w:val="16"/>
    </w:rPr>
  </w:style>
  <w:style w:type="character" w:customStyle="1" w:styleId="TekstbaloniaChar">
    <w:name w:val="Tekst balončića Char"/>
    <w:basedOn w:val="Zadanifontodlomka"/>
    <w:link w:val="Tekstbalonia"/>
    <w:uiPriority w:val="99"/>
    <w:semiHidden/>
    <w:rsid w:val="00951A71"/>
    <w:rPr>
      <w:rFonts w:ascii="Tahoma" w:eastAsia="Times New Roman" w:hAnsi="Tahoma" w:cs="Tahoma"/>
      <w:sz w:val="16"/>
      <w:szCs w:val="16"/>
      <w:lang w:eastAsia="hr-HR"/>
    </w:rPr>
  </w:style>
  <w:style w:type="character" w:styleId="Hiperveza">
    <w:name w:val="Hyperlink"/>
    <w:basedOn w:val="Zadanifontodlomka"/>
    <w:uiPriority w:val="99"/>
    <w:unhideWhenUsed/>
    <w:rsid w:val="00536163"/>
    <w:rPr>
      <w:color w:val="0000FF" w:themeColor="hyperlink"/>
      <w:u w:val="single"/>
    </w:rPr>
  </w:style>
  <w:style w:type="paragraph" w:styleId="Odlomakpopisa">
    <w:name w:val="List Paragraph"/>
    <w:aliases w:val="Paragraph,List Paragraph Red,lp1,Heading 12,heading 1,naslov 1,Naslov 12,Graf,TG lista,Naslov 11,Paragraphe de liste PBLH,Graph &amp; Table tite,Normal bullet 2,Bullet list,Figure_name,Equipment,Numbered Indented Text,2"/>
    <w:basedOn w:val="Normal"/>
    <w:link w:val="OdlomakpopisaChar"/>
    <w:uiPriority w:val="34"/>
    <w:qFormat/>
    <w:rsid w:val="00FE0148"/>
    <w:pPr>
      <w:widowControl/>
      <w:autoSpaceDE/>
      <w:autoSpaceDN/>
      <w:adjustRightInd/>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Referencakomentara">
    <w:name w:val="annotation reference"/>
    <w:basedOn w:val="Zadanifontodlomka"/>
    <w:uiPriority w:val="99"/>
    <w:semiHidden/>
    <w:unhideWhenUsed/>
    <w:rsid w:val="00C82A1F"/>
    <w:rPr>
      <w:sz w:val="16"/>
      <w:szCs w:val="16"/>
    </w:rPr>
  </w:style>
  <w:style w:type="paragraph" w:styleId="Tekstkomentara">
    <w:name w:val="annotation text"/>
    <w:aliases w:val="Char2,Comment Text Char Char Char Char Char,Comment Text Char Char Char Char,Comment Text Char Char Char,Comment Text Char Char Char1,Comment Text Char Char Char Char Char Ch, Char2"/>
    <w:basedOn w:val="Normal"/>
    <w:link w:val="TekstkomentaraChar"/>
    <w:uiPriority w:val="99"/>
    <w:unhideWhenUsed/>
    <w:rsid w:val="00C82A1F"/>
    <w:rPr>
      <w:sz w:val="20"/>
      <w:szCs w:val="20"/>
    </w:rPr>
  </w:style>
  <w:style w:type="character" w:customStyle="1" w:styleId="TekstkomentaraChar">
    <w:name w:val="Tekst komentara Char"/>
    <w:aliases w:val="Char2 Char,Comment Text Char Char Char Char Char Char,Comment Text Char Char Char Char Char1,Comment Text Char Char Char Char1,Comment Text Char Char Char1 Char,Comment Text Char Char Char Char Char Ch Char, Char2 Char"/>
    <w:basedOn w:val="Zadanifontodlomka"/>
    <w:link w:val="Tekstkomentara"/>
    <w:uiPriority w:val="99"/>
    <w:rsid w:val="00C82A1F"/>
    <w:rPr>
      <w:rFonts w:eastAsia="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C82A1F"/>
    <w:rPr>
      <w:b/>
      <w:bCs/>
    </w:rPr>
  </w:style>
  <w:style w:type="character" w:customStyle="1" w:styleId="PredmetkomentaraChar">
    <w:name w:val="Predmet komentara Char"/>
    <w:basedOn w:val="TekstkomentaraChar"/>
    <w:link w:val="Predmetkomentara"/>
    <w:uiPriority w:val="99"/>
    <w:semiHidden/>
    <w:rsid w:val="00C82A1F"/>
    <w:rPr>
      <w:rFonts w:eastAsia="Times New Roman" w:cs="Times New Roman"/>
      <w:b/>
      <w:bCs/>
      <w:sz w:val="20"/>
      <w:szCs w:val="20"/>
      <w:lang w:eastAsia="hr-HR"/>
    </w:rPr>
  </w:style>
  <w:style w:type="paragraph" w:customStyle="1" w:styleId="Default">
    <w:name w:val="Default"/>
    <w:rsid w:val="001B46C7"/>
    <w:pPr>
      <w:autoSpaceDE w:val="0"/>
      <w:autoSpaceDN w:val="0"/>
      <w:adjustRightInd w:val="0"/>
    </w:pPr>
    <w:rPr>
      <w:rFonts w:ascii="Times New Roman" w:hAnsi="Times New Roman" w:cs="Times New Roman"/>
      <w:color w:val="000000"/>
      <w:szCs w:val="24"/>
    </w:rPr>
  </w:style>
  <w:style w:type="paragraph" w:styleId="StandardWeb">
    <w:name w:val="Normal (Web)"/>
    <w:basedOn w:val="Normal"/>
    <w:link w:val="StandardWebChar"/>
    <w:uiPriority w:val="99"/>
    <w:unhideWhenUsed/>
    <w:rsid w:val="00094103"/>
    <w:pPr>
      <w:widowControl/>
      <w:autoSpaceDE/>
      <w:autoSpaceDN/>
      <w:adjustRightInd/>
      <w:spacing w:after="150"/>
      <w:jc w:val="left"/>
    </w:pPr>
    <w:rPr>
      <w:rFonts w:ascii="Times New Roman" w:hAnsi="Times New Roman"/>
      <w:lang w:val="en-US" w:eastAsia="en-US"/>
    </w:rPr>
  </w:style>
  <w:style w:type="character" w:customStyle="1" w:styleId="StandardWebChar">
    <w:name w:val="Standard (Web) Char"/>
    <w:basedOn w:val="Zadanifontodlomka"/>
    <w:link w:val="StandardWeb"/>
    <w:uiPriority w:val="99"/>
    <w:rsid w:val="00094103"/>
    <w:rPr>
      <w:rFonts w:ascii="Times New Roman" w:eastAsia="Times New Roman" w:hAnsi="Times New Roman" w:cs="Times New Roman"/>
      <w:szCs w:val="24"/>
      <w:lang w:val="en-US"/>
    </w:rPr>
  </w:style>
  <w:style w:type="paragraph" w:styleId="Zaglavlje">
    <w:name w:val="header"/>
    <w:basedOn w:val="Normal"/>
    <w:link w:val="ZaglavljeChar"/>
    <w:uiPriority w:val="99"/>
    <w:unhideWhenUsed/>
    <w:rsid w:val="00952B63"/>
    <w:pPr>
      <w:tabs>
        <w:tab w:val="center" w:pos="4536"/>
        <w:tab w:val="right" w:pos="9072"/>
      </w:tabs>
    </w:pPr>
  </w:style>
  <w:style w:type="character" w:customStyle="1" w:styleId="ZaglavljeChar">
    <w:name w:val="Zaglavlje Char"/>
    <w:basedOn w:val="Zadanifontodlomka"/>
    <w:link w:val="Zaglavlje"/>
    <w:uiPriority w:val="99"/>
    <w:rsid w:val="00952B63"/>
    <w:rPr>
      <w:rFonts w:eastAsia="Times New Roman" w:cs="Times New Roman"/>
      <w:szCs w:val="24"/>
      <w:lang w:eastAsia="hr-HR"/>
    </w:rPr>
  </w:style>
  <w:style w:type="paragraph" w:styleId="Podnoje">
    <w:name w:val="footer"/>
    <w:basedOn w:val="Normal"/>
    <w:link w:val="PodnojeChar"/>
    <w:uiPriority w:val="99"/>
    <w:unhideWhenUsed/>
    <w:rsid w:val="00952B63"/>
    <w:pPr>
      <w:tabs>
        <w:tab w:val="center" w:pos="4536"/>
        <w:tab w:val="right" w:pos="9072"/>
      </w:tabs>
    </w:pPr>
  </w:style>
  <w:style w:type="character" w:customStyle="1" w:styleId="PodnojeChar">
    <w:name w:val="Podnožje Char"/>
    <w:basedOn w:val="Zadanifontodlomka"/>
    <w:link w:val="Podnoje"/>
    <w:uiPriority w:val="99"/>
    <w:rsid w:val="00952B63"/>
    <w:rPr>
      <w:rFonts w:eastAsia="Times New Roman" w:cs="Times New Roman"/>
      <w:szCs w:val="24"/>
      <w:lang w:eastAsia="hr-HR"/>
    </w:rPr>
  </w:style>
  <w:style w:type="paragraph" w:styleId="Naslov">
    <w:name w:val="Title"/>
    <w:basedOn w:val="Normal"/>
    <w:next w:val="Normal"/>
    <w:link w:val="NaslovChar"/>
    <w:qFormat/>
    <w:rsid w:val="001C2CDA"/>
    <w:pPr>
      <w:jc w:val="left"/>
      <w:outlineLvl w:val="0"/>
    </w:pPr>
    <w:rPr>
      <w:bCs/>
      <w:noProof/>
      <w:kern w:val="28"/>
    </w:rPr>
  </w:style>
  <w:style w:type="character" w:customStyle="1" w:styleId="NaslovChar">
    <w:name w:val="Naslov Char"/>
    <w:basedOn w:val="Zadanifontodlomka"/>
    <w:link w:val="Naslov"/>
    <w:rsid w:val="001C2CDA"/>
    <w:rPr>
      <w:rFonts w:eastAsia="Times New Roman" w:cs="Times New Roman"/>
      <w:bCs/>
      <w:noProof/>
      <w:kern w:val="28"/>
      <w:szCs w:val="24"/>
      <w:lang w:eastAsia="hr-HR"/>
    </w:rPr>
  </w:style>
  <w:style w:type="character" w:customStyle="1" w:styleId="OdlomakpopisaChar">
    <w:name w:val="Odlomak popisa Char"/>
    <w:aliases w:val="Paragraph Char,List Paragraph Red Char,lp1 Char,Heading 12 Char,heading 1 Char,naslov 1 Char,Naslov 12 Char,Graf Char,TG lista Char,Naslov 11 Char,Paragraphe de liste PBLH Char,Graph &amp; Table tite Char,Normal bullet 2 Char,2 Char"/>
    <w:link w:val="Odlomakpopisa"/>
    <w:uiPriority w:val="34"/>
    <w:locked/>
    <w:rsid w:val="00B25F77"/>
    <w:rPr>
      <w:rFonts w:asciiTheme="minorHAnsi" w:hAnsiTheme="minorHAnsi"/>
      <w:sz w:val="22"/>
    </w:rPr>
  </w:style>
  <w:style w:type="paragraph" w:styleId="Obinitekst">
    <w:name w:val="Plain Text"/>
    <w:basedOn w:val="Normal"/>
    <w:link w:val="ObinitekstChar"/>
    <w:uiPriority w:val="99"/>
    <w:semiHidden/>
    <w:unhideWhenUsed/>
    <w:rsid w:val="00C5572F"/>
    <w:pPr>
      <w:widowControl/>
      <w:autoSpaceDE/>
      <w:autoSpaceDN/>
      <w:adjustRightInd/>
      <w:jc w:val="left"/>
    </w:pPr>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semiHidden/>
    <w:rsid w:val="00C5572F"/>
    <w:rPr>
      <w:rFonts w:ascii="Calibri" w:hAnsi="Calibri"/>
      <w:sz w:val="22"/>
      <w:szCs w:val="21"/>
    </w:rPr>
  </w:style>
  <w:style w:type="paragraph" w:styleId="Tijeloteksta">
    <w:name w:val="Body Text"/>
    <w:basedOn w:val="Normal"/>
    <w:link w:val="TijelotekstaChar"/>
    <w:uiPriority w:val="1"/>
    <w:qFormat/>
    <w:rsid w:val="00F61CCD"/>
    <w:pPr>
      <w:jc w:val="left"/>
    </w:pPr>
    <w:rPr>
      <w:rFonts w:ascii="Bookman Old Style" w:eastAsiaTheme="minorEastAsia" w:hAnsi="Bookman Old Style" w:cs="Bookman Old Style"/>
    </w:rPr>
  </w:style>
  <w:style w:type="character" w:customStyle="1" w:styleId="TijelotekstaChar">
    <w:name w:val="Tijelo teksta Char"/>
    <w:basedOn w:val="Zadanifontodlomka"/>
    <w:link w:val="Tijeloteksta"/>
    <w:uiPriority w:val="1"/>
    <w:rsid w:val="00F61CCD"/>
    <w:rPr>
      <w:rFonts w:ascii="Bookman Old Style" w:eastAsiaTheme="minorEastAsia" w:hAnsi="Bookman Old Style" w:cs="Bookman Old Style"/>
      <w:szCs w:val="24"/>
      <w:lang w:eastAsia="hr-HR"/>
    </w:rPr>
  </w:style>
  <w:style w:type="paragraph" w:customStyle="1" w:styleId="StilBulletCrtica">
    <w:name w:val="StilBulletCrtica"/>
    <w:basedOn w:val="Odlomakpopisa"/>
    <w:next w:val="Normal"/>
    <w:link w:val="StilBulletCrticaChar"/>
    <w:qFormat/>
    <w:rsid w:val="00F61CCD"/>
    <w:pPr>
      <w:numPr>
        <w:numId w:val="2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927"/>
      <w:jc w:val="both"/>
      <w:textAlignment w:val="baseline"/>
    </w:pPr>
    <w:rPr>
      <w:rFonts w:ascii="Arial" w:eastAsia="Times New Roman" w:hAnsi="Arial" w:cs="Times New Roman"/>
      <w:sz w:val="24"/>
      <w:szCs w:val="20"/>
      <w:lang w:eastAsia="hr-HR"/>
    </w:rPr>
  </w:style>
  <w:style w:type="character" w:customStyle="1" w:styleId="StilBulletCrticaChar">
    <w:name w:val="StilBulletCrtica Char"/>
    <w:link w:val="StilBulletCrtica"/>
    <w:rsid w:val="00F61CCD"/>
    <w:rPr>
      <w:rFonts w:eastAsia="Times New Roman" w:cs="Times New Roman"/>
      <w:szCs w:val="20"/>
      <w:lang w:eastAsia="hr-HR"/>
    </w:rPr>
  </w:style>
  <w:style w:type="paragraph" w:styleId="Tijeloteksta2">
    <w:name w:val="Body Text 2"/>
    <w:basedOn w:val="Normal"/>
    <w:link w:val="Tijeloteksta2Char"/>
    <w:uiPriority w:val="99"/>
    <w:semiHidden/>
    <w:unhideWhenUsed/>
    <w:rsid w:val="00EB3C61"/>
    <w:pPr>
      <w:spacing w:after="120" w:line="480" w:lineRule="auto"/>
    </w:pPr>
  </w:style>
  <w:style w:type="character" w:customStyle="1" w:styleId="Tijeloteksta2Char">
    <w:name w:val="Tijelo teksta 2 Char"/>
    <w:basedOn w:val="Zadanifontodlomka"/>
    <w:link w:val="Tijeloteksta2"/>
    <w:uiPriority w:val="99"/>
    <w:semiHidden/>
    <w:rsid w:val="00EB3C61"/>
    <w:rPr>
      <w:rFonts w:eastAsia="Times New Roman" w:cs="Times New Roman"/>
      <w:szCs w:val="24"/>
      <w:lang w:eastAsia="hr-HR"/>
    </w:rPr>
  </w:style>
  <w:style w:type="table" w:styleId="Reetkatablice">
    <w:name w:val="Table Grid"/>
    <w:basedOn w:val="Obinatablica"/>
    <w:uiPriority w:val="39"/>
    <w:rsid w:val="009D3E4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rsid w:val="007B0C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27">
      <w:bodyDiv w:val="1"/>
      <w:marLeft w:val="0"/>
      <w:marRight w:val="0"/>
      <w:marTop w:val="0"/>
      <w:marBottom w:val="0"/>
      <w:divBdr>
        <w:top w:val="none" w:sz="0" w:space="0" w:color="auto"/>
        <w:left w:val="none" w:sz="0" w:space="0" w:color="auto"/>
        <w:bottom w:val="none" w:sz="0" w:space="0" w:color="auto"/>
        <w:right w:val="none" w:sz="0" w:space="0" w:color="auto"/>
      </w:divBdr>
    </w:div>
    <w:div w:id="60564469">
      <w:bodyDiv w:val="1"/>
      <w:marLeft w:val="0"/>
      <w:marRight w:val="0"/>
      <w:marTop w:val="0"/>
      <w:marBottom w:val="0"/>
      <w:divBdr>
        <w:top w:val="none" w:sz="0" w:space="0" w:color="auto"/>
        <w:left w:val="none" w:sz="0" w:space="0" w:color="auto"/>
        <w:bottom w:val="none" w:sz="0" w:space="0" w:color="auto"/>
        <w:right w:val="none" w:sz="0" w:space="0" w:color="auto"/>
      </w:divBdr>
    </w:div>
    <w:div w:id="155921645">
      <w:bodyDiv w:val="1"/>
      <w:marLeft w:val="0"/>
      <w:marRight w:val="0"/>
      <w:marTop w:val="0"/>
      <w:marBottom w:val="0"/>
      <w:divBdr>
        <w:top w:val="none" w:sz="0" w:space="0" w:color="auto"/>
        <w:left w:val="none" w:sz="0" w:space="0" w:color="auto"/>
        <w:bottom w:val="none" w:sz="0" w:space="0" w:color="auto"/>
        <w:right w:val="none" w:sz="0" w:space="0" w:color="auto"/>
      </w:divBdr>
    </w:div>
    <w:div w:id="164712517">
      <w:bodyDiv w:val="1"/>
      <w:marLeft w:val="0"/>
      <w:marRight w:val="0"/>
      <w:marTop w:val="0"/>
      <w:marBottom w:val="0"/>
      <w:divBdr>
        <w:top w:val="none" w:sz="0" w:space="0" w:color="auto"/>
        <w:left w:val="none" w:sz="0" w:space="0" w:color="auto"/>
        <w:bottom w:val="none" w:sz="0" w:space="0" w:color="auto"/>
        <w:right w:val="none" w:sz="0" w:space="0" w:color="auto"/>
      </w:divBdr>
    </w:div>
    <w:div w:id="191962531">
      <w:bodyDiv w:val="1"/>
      <w:marLeft w:val="0"/>
      <w:marRight w:val="0"/>
      <w:marTop w:val="0"/>
      <w:marBottom w:val="0"/>
      <w:divBdr>
        <w:top w:val="none" w:sz="0" w:space="0" w:color="auto"/>
        <w:left w:val="none" w:sz="0" w:space="0" w:color="auto"/>
        <w:bottom w:val="none" w:sz="0" w:space="0" w:color="auto"/>
        <w:right w:val="none" w:sz="0" w:space="0" w:color="auto"/>
      </w:divBdr>
    </w:div>
    <w:div w:id="203518444">
      <w:bodyDiv w:val="1"/>
      <w:marLeft w:val="0"/>
      <w:marRight w:val="0"/>
      <w:marTop w:val="0"/>
      <w:marBottom w:val="0"/>
      <w:divBdr>
        <w:top w:val="none" w:sz="0" w:space="0" w:color="auto"/>
        <w:left w:val="none" w:sz="0" w:space="0" w:color="auto"/>
        <w:bottom w:val="none" w:sz="0" w:space="0" w:color="auto"/>
        <w:right w:val="none" w:sz="0" w:space="0" w:color="auto"/>
      </w:divBdr>
    </w:div>
    <w:div w:id="463039150">
      <w:bodyDiv w:val="1"/>
      <w:marLeft w:val="0"/>
      <w:marRight w:val="0"/>
      <w:marTop w:val="0"/>
      <w:marBottom w:val="0"/>
      <w:divBdr>
        <w:top w:val="none" w:sz="0" w:space="0" w:color="auto"/>
        <w:left w:val="none" w:sz="0" w:space="0" w:color="auto"/>
        <w:bottom w:val="none" w:sz="0" w:space="0" w:color="auto"/>
        <w:right w:val="none" w:sz="0" w:space="0" w:color="auto"/>
      </w:divBdr>
    </w:div>
    <w:div w:id="510606819">
      <w:bodyDiv w:val="1"/>
      <w:marLeft w:val="0"/>
      <w:marRight w:val="0"/>
      <w:marTop w:val="0"/>
      <w:marBottom w:val="0"/>
      <w:divBdr>
        <w:top w:val="none" w:sz="0" w:space="0" w:color="auto"/>
        <w:left w:val="none" w:sz="0" w:space="0" w:color="auto"/>
        <w:bottom w:val="none" w:sz="0" w:space="0" w:color="auto"/>
        <w:right w:val="none" w:sz="0" w:space="0" w:color="auto"/>
      </w:divBdr>
    </w:div>
    <w:div w:id="518814209">
      <w:bodyDiv w:val="1"/>
      <w:marLeft w:val="0"/>
      <w:marRight w:val="0"/>
      <w:marTop w:val="0"/>
      <w:marBottom w:val="0"/>
      <w:divBdr>
        <w:top w:val="none" w:sz="0" w:space="0" w:color="auto"/>
        <w:left w:val="none" w:sz="0" w:space="0" w:color="auto"/>
        <w:bottom w:val="none" w:sz="0" w:space="0" w:color="auto"/>
        <w:right w:val="none" w:sz="0" w:space="0" w:color="auto"/>
      </w:divBdr>
    </w:div>
    <w:div w:id="714503783">
      <w:bodyDiv w:val="1"/>
      <w:marLeft w:val="0"/>
      <w:marRight w:val="0"/>
      <w:marTop w:val="0"/>
      <w:marBottom w:val="0"/>
      <w:divBdr>
        <w:top w:val="none" w:sz="0" w:space="0" w:color="auto"/>
        <w:left w:val="none" w:sz="0" w:space="0" w:color="auto"/>
        <w:bottom w:val="none" w:sz="0" w:space="0" w:color="auto"/>
        <w:right w:val="none" w:sz="0" w:space="0" w:color="auto"/>
      </w:divBdr>
    </w:div>
    <w:div w:id="750661068">
      <w:bodyDiv w:val="1"/>
      <w:marLeft w:val="0"/>
      <w:marRight w:val="0"/>
      <w:marTop w:val="0"/>
      <w:marBottom w:val="0"/>
      <w:divBdr>
        <w:top w:val="none" w:sz="0" w:space="0" w:color="auto"/>
        <w:left w:val="none" w:sz="0" w:space="0" w:color="auto"/>
        <w:bottom w:val="none" w:sz="0" w:space="0" w:color="auto"/>
        <w:right w:val="none" w:sz="0" w:space="0" w:color="auto"/>
      </w:divBdr>
    </w:div>
    <w:div w:id="818351493">
      <w:bodyDiv w:val="1"/>
      <w:marLeft w:val="0"/>
      <w:marRight w:val="0"/>
      <w:marTop w:val="0"/>
      <w:marBottom w:val="0"/>
      <w:divBdr>
        <w:top w:val="none" w:sz="0" w:space="0" w:color="auto"/>
        <w:left w:val="none" w:sz="0" w:space="0" w:color="auto"/>
        <w:bottom w:val="none" w:sz="0" w:space="0" w:color="auto"/>
        <w:right w:val="none" w:sz="0" w:space="0" w:color="auto"/>
      </w:divBdr>
    </w:div>
    <w:div w:id="896361056">
      <w:bodyDiv w:val="1"/>
      <w:marLeft w:val="0"/>
      <w:marRight w:val="0"/>
      <w:marTop w:val="0"/>
      <w:marBottom w:val="0"/>
      <w:divBdr>
        <w:top w:val="none" w:sz="0" w:space="0" w:color="auto"/>
        <w:left w:val="none" w:sz="0" w:space="0" w:color="auto"/>
        <w:bottom w:val="none" w:sz="0" w:space="0" w:color="auto"/>
        <w:right w:val="none" w:sz="0" w:space="0" w:color="auto"/>
      </w:divBdr>
    </w:div>
    <w:div w:id="970593215">
      <w:bodyDiv w:val="1"/>
      <w:marLeft w:val="0"/>
      <w:marRight w:val="0"/>
      <w:marTop w:val="0"/>
      <w:marBottom w:val="0"/>
      <w:divBdr>
        <w:top w:val="none" w:sz="0" w:space="0" w:color="auto"/>
        <w:left w:val="none" w:sz="0" w:space="0" w:color="auto"/>
        <w:bottom w:val="none" w:sz="0" w:space="0" w:color="auto"/>
        <w:right w:val="none" w:sz="0" w:space="0" w:color="auto"/>
      </w:divBdr>
    </w:div>
    <w:div w:id="1011375826">
      <w:bodyDiv w:val="1"/>
      <w:marLeft w:val="0"/>
      <w:marRight w:val="0"/>
      <w:marTop w:val="0"/>
      <w:marBottom w:val="0"/>
      <w:divBdr>
        <w:top w:val="none" w:sz="0" w:space="0" w:color="auto"/>
        <w:left w:val="none" w:sz="0" w:space="0" w:color="auto"/>
        <w:bottom w:val="none" w:sz="0" w:space="0" w:color="auto"/>
        <w:right w:val="none" w:sz="0" w:space="0" w:color="auto"/>
      </w:divBdr>
    </w:div>
    <w:div w:id="1020669912">
      <w:bodyDiv w:val="1"/>
      <w:marLeft w:val="0"/>
      <w:marRight w:val="0"/>
      <w:marTop w:val="0"/>
      <w:marBottom w:val="0"/>
      <w:divBdr>
        <w:top w:val="none" w:sz="0" w:space="0" w:color="auto"/>
        <w:left w:val="none" w:sz="0" w:space="0" w:color="auto"/>
        <w:bottom w:val="none" w:sz="0" w:space="0" w:color="auto"/>
        <w:right w:val="none" w:sz="0" w:space="0" w:color="auto"/>
      </w:divBdr>
    </w:div>
    <w:div w:id="1055162361">
      <w:bodyDiv w:val="1"/>
      <w:marLeft w:val="0"/>
      <w:marRight w:val="0"/>
      <w:marTop w:val="0"/>
      <w:marBottom w:val="0"/>
      <w:divBdr>
        <w:top w:val="none" w:sz="0" w:space="0" w:color="auto"/>
        <w:left w:val="none" w:sz="0" w:space="0" w:color="auto"/>
        <w:bottom w:val="none" w:sz="0" w:space="0" w:color="auto"/>
        <w:right w:val="none" w:sz="0" w:space="0" w:color="auto"/>
      </w:divBdr>
    </w:div>
    <w:div w:id="1082065103">
      <w:bodyDiv w:val="1"/>
      <w:marLeft w:val="0"/>
      <w:marRight w:val="0"/>
      <w:marTop w:val="0"/>
      <w:marBottom w:val="0"/>
      <w:divBdr>
        <w:top w:val="none" w:sz="0" w:space="0" w:color="auto"/>
        <w:left w:val="none" w:sz="0" w:space="0" w:color="auto"/>
        <w:bottom w:val="none" w:sz="0" w:space="0" w:color="auto"/>
        <w:right w:val="none" w:sz="0" w:space="0" w:color="auto"/>
      </w:divBdr>
    </w:div>
    <w:div w:id="1107232474">
      <w:bodyDiv w:val="1"/>
      <w:marLeft w:val="0"/>
      <w:marRight w:val="0"/>
      <w:marTop w:val="0"/>
      <w:marBottom w:val="0"/>
      <w:divBdr>
        <w:top w:val="none" w:sz="0" w:space="0" w:color="auto"/>
        <w:left w:val="none" w:sz="0" w:space="0" w:color="auto"/>
        <w:bottom w:val="none" w:sz="0" w:space="0" w:color="auto"/>
        <w:right w:val="none" w:sz="0" w:space="0" w:color="auto"/>
      </w:divBdr>
    </w:div>
    <w:div w:id="1298032261">
      <w:bodyDiv w:val="1"/>
      <w:marLeft w:val="0"/>
      <w:marRight w:val="0"/>
      <w:marTop w:val="0"/>
      <w:marBottom w:val="0"/>
      <w:divBdr>
        <w:top w:val="none" w:sz="0" w:space="0" w:color="auto"/>
        <w:left w:val="none" w:sz="0" w:space="0" w:color="auto"/>
        <w:bottom w:val="none" w:sz="0" w:space="0" w:color="auto"/>
        <w:right w:val="none" w:sz="0" w:space="0" w:color="auto"/>
      </w:divBdr>
    </w:div>
    <w:div w:id="1322467485">
      <w:bodyDiv w:val="1"/>
      <w:marLeft w:val="0"/>
      <w:marRight w:val="0"/>
      <w:marTop w:val="0"/>
      <w:marBottom w:val="0"/>
      <w:divBdr>
        <w:top w:val="none" w:sz="0" w:space="0" w:color="auto"/>
        <w:left w:val="none" w:sz="0" w:space="0" w:color="auto"/>
        <w:bottom w:val="none" w:sz="0" w:space="0" w:color="auto"/>
        <w:right w:val="none" w:sz="0" w:space="0" w:color="auto"/>
      </w:divBdr>
    </w:div>
    <w:div w:id="1323238994">
      <w:bodyDiv w:val="1"/>
      <w:marLeft w:val="0"/>
      <w:marRight w:val="0"/>
      <w:marTop w:val="0"/>
      <w:marBottom w:val="0"/>
      <w:divBdr>
        <w:top w:val="none" w:sz="0" w:space="0" w:color="auto"/>
        <w:left w:val="none" w:sz="0" w:space="0" w:color="auto"/>
        <w:bottom w:val="none" w:sz="0" w:space="0" w:color="auto"/>
        <w:right w:val="none" w:sz="0" w:space="0" w:color="auto"/>
      </w:divBdr>
    </w:div>
    <w:div w:id="1404795639">
      <w:bodyDiv w:val="1"/>
      <w:marLeft w:val="0"/>
      <w:marRight w:val="0"/>
      <w:marTop w:val="0"/>
      <w:marBottom w:val="0"/>
      <w:divBdr>
        <w:top w:val="none" w:sz="0" w:space="0" w:color="auto"/>
        <w:left w:val="none" w:sz="0" w:space="0" w:color="auto"/>
        <w:bottom w:val="none" w:sz="0" w:space="0" w:color="auto"/>
        <w:right w:val="none" w:sz="0" w:space="0" w:color="auto"/>
      </w:divBdr>
    </w:div>
    <w:div w:id="1552810761">
      <w:bodyDiv w:val="1"/>
      <w:marLeft w:val="0"/>
      <w:marRight w:val="0"/>
      <w:marTop w:val="0"/>
      <w:marBottom w:val="0"/>
      <w:divBdr>
        <w:top w:val="none" w:sz="0" w:space="0" w:color="auto"/>
        <w:left w:val="none" w:sz="0" w:space="0" w:color="auto"/>
        <w:bottom w:val="none" w:sz="0" w:space="0" w:color="auto"/>
        <w:right w:val="none" w:sz="0" w:space="0" w:color="auto"/>
      </w:divBdr>
    </w:div>
    <w:div w:id="1649356127">
      <w:bodyDiv w:val="1"/>
      <w:marLeft w:val="0"/>
      <w:marRight w:val="0"/>
      <w:marTop w:val="0"/>
      <w:marBottom w:val="0"/>
      <w:divBdr>
        <w:top w:val="none" w:sz="0" w:space="0" w:color="auto"/>
        <w:left w:val="none" w:sz="0" w:space="0" w:color="auto"/>
        <w:bottom w:val="none" w:sz="0" w:space="0" w:color="auto"/>
        <w:right w:val="none" w:sz="0" w:space="0" w:color="auto"/>
      </w:divBdr>
    </w:div>
    <w:div w:id="1689868721">
      <w:bodyDiv w:val="1"/>
      <w:marLeft w:val="0"/>
      <w:marRight w:val="0"/>
      <w:marTop w:val="0"/>
      <w:marBottom w:val="0"/>
      <w:divBdr>
        <w:top w:val="none" w:sz="0" w:space="0" w:color="auto"/>
        <w:left w:val="none" w:sz="0" w:space="0" w:color="auto"/>
        <w:bottom w:val="none" w:sz="0" w:space="0" w:color="auto"/>
        <w:right w:val="none" w:sz="0" w:space="0" w:color="auto"/>
      </w:divBdr>
    </w:div>
    <w:div w:id="1722245642">
      <w:bodyDiv w:val="1"/>
      <w:marLeft w:val="0"/>
      <w:marRight w:val="0"/>
      <w:marTop w:val="0"/>
      <w:marBottom w:val="0"/>
      <w:divBdr>
        <w:top w:val="none" w:sz="0" w:space="0" w:color="auto"/>
        <w:left w:val="none" w:sz="0" w:space="0" w:color="auto"/>
        <w:bottom w:val="none" w:sz="0" w:space="0" w:color="auto"/>
        <w:right w:val="none" w:sz="0" w:space="0" w:color="auto"/>
      </w:divBdr>
    </w:div>
    <w:div w:id="1814369906">
      <w:bodyDiv w:val="1"/>
      <w:marLeft w:val="0"/>
      <w:marRight w:val="0"/>
      <w:marTop w:val="0"/>
      <w:marBottom w:val="0"/>
      <w:divBdr>
        <w:top w:val="none" w:sz="0" w:space="0" w:color="auto"/>
        <w:left w:val="none" w:sz="0" w:space="0" w:color="auto"/>
        <w:bottom w:val="none" w:sz="0" w:space="0" w:color="auto"/>
        <w:right w:val="none" w:sz="0" w:space="0" w:color="auto"/>
      </w:divBdr>
    </w:div>
    <w:div w:id="1816295601">
      <w:bodyDiv w:val="1"/>
      <w:marLeft w:val="0"/>
      <w:marRight w:val="0"/>
      <w:marTop w:val="0"/>
      <w:marBottom w:val="0"/>
      <w:divBdr>
        <w:top w:val="none" w:sz="0" w:space="0" w:color="auto"/>
        <w:left w:val="none" w:sz="0" w:space="0" w:color="auto"/>
        <w:bottom w:val="none" w:sz="0" w:space="0" w:color="auto"/>
        <w:right w:val="none" w:sz="0" w:space="0" w:color="auto"/>
      </w:divBdr>
    </w:div>
    <w:div w:id="1866404068">
      <w:bodyDiv w:val="1"/>
      <w:marLeft w:val="0"/>
      <w:marRight w:val="0"/>
      <w:marTop w:val="0"/>
      <w:marBottom w:val="0"/>
      <w:divBdr>
        <w:top w:val="none" w:sz="0" w:space="0" w:color="auto"/>
        <w:left w:val="none" w:sz="0" w:space="0" w:color="auto"/>
        <w:bottom w:val="none" w:sz="0" w:space="0" w:color="auto"/>
        <w:right w:val="none" w:sz="0" w:space="0" w:color="auto"/>
      </w:divBdr>
    </w:div>
    <w:div w:id="1884125841">
      <w:bodyDiv w:val="1"/>
      <w:marLeft w:val="0"/>
      <w:marRight w:val="0"/>
      <w:marTop w:val="0"/>
      <w:marBottom w:val="0"/>
      <w:divBdr>
        <w:top w:val="none" w:sz="0" w:space="0" w:color="auto"/>
        <w:left w:val="none" w:sz="0" w:space="0" w:color="auto"/>
        <w:bottom w:val="none" w:sz="0" w:space="0" w:color="auto"/>
        <w:right w:val="none" w:sz="0" w:space="0" w:color="auto"/>
      </w:divBdr>
    </w:div>
    <w:div w:id="1906720836">
      <w:bodyDiv w:val="1"/>
      <w:marLeft w:val="0"/>
      <w:marRight w:val="0"/>
      <w:marTop w:val="0"/>
      <w:marBottom w:val="0"/>
      <w:divBdr>
        <w:top w:val="none" w:sz="0" w:space="0" w:color="auto"/>
        <w:left w:val="none" w:sz="0" w:space="0" w:color="auto"/>
        <w:bottom w:val="none" w:sz="0" w:space="0" w:color="auto"/>
        <w:right w:val="none" w:sz="0" w:space="0" w:color="auto"/>
      </w:divBdr>
    </w:div>
    <w:div w:id="1935816813">
      <w:bodyDiv w:val="1"/>
      <w:marLeft w:val="0"/>
      <w:marRight w:val="0"/>
      <w:marTop w:val="0"/>
      <w:marBottom w:val="0"/>
      <w:divBdr>
        <w:top w:val="none" w:sz="0" w:space="0" w:color="auto"/>
        <w:left w:val="none" w:sz="0" w:space="0" w:color="auto"/>
        <w:bottom w:val="none" w:sz="0" w:space="0" w:color="auto"/>
        <w:right w:val="none" w:sz="0" w:space="0" w:color="auto"/>
      </w:divBdr>
    </w:div>
    <w:div w:id="1984461944">
      <w:bodyDiv w:val="1"/>
      <w:marLeft w:val="0"/>
      <w:marRight w:val="0"/>
      <w:marTop w:val="0"/>
      <w:marBottom w:val="0"/>
      <w:divBdr>
        <w:top w:val="none" w:sz="0" w:space="0" w:color="auto"/>
        <w:left w:val="none" w:sz="0" w:space="0" w:color="auto"/>
        <w:bottom w:val="none" w:sz="0" w:space="0" w:color="auto"/>
        <w:right w:val="none" w:sz="0" w:space="0" w:color="auto"/>
      </w:divBdr>
    </w:div>
    <w:div w:id="1994794511">
      <w:bodyDiv w:val="1"/>
      <w:marLeft w:val="0"/>
      <w:marRight w:val="0"/>
      <w:marTop w:val="0"/>
      <w:marBottom w:val="0"/>
      <w:divBdr>
        <w:top w:val="none" w:sz="0" w:space="0" w:color="auto"/>
        <w:left w:val="none" w:sz="0" w:space="0" w:color="auto"/>
        <w:bottom w:val="none" w:sz="0" w:space="0" w:color="auto"/>
        <w:right w:val="none" w:sz="0" w:space="0" w:color="auto"/>
      </w:divBdr>
    </w:div>
    <w:div w:id="2006084383">
      <w:bodyDiv w:val="1"/>
      <w:marLeft w:val="0"/>
      <w:marRight w:val="0"/>
      <w:marTop w:val="0"/>
      <w:marBottom w:val="0"/>
      <w:divBdr>
        <w:top w:val="none" w:sz="0" w:space="0" w:color="auto"/>
        <w:left w:val="none" w:sz="0" w:space="0" w:color="auto"/>
        <w:bottom w:val="none" w:sz="0" w:space="0" w:color="auto"/>
        <w:right w:val="none" w:sz="0" w:space="0" w:color="auto"/>
      </w:divBdr>
    </w:div>
    <w:div w:id="2053772273">
      <w:bodyDiv w:val="1"/>
      <w:marLeft w:val="0"/>
      <w:marRight w:val="0"/>
      <w:marTop w:val="0"/>
      <w:marBottom w:val="0"/>
      <w:divBdr>
        <w:top w:val="none" w:sz="0" w:space="0" w:color="auto"/>
        <w:left w:val="none" w:sz="0" w:space="0" w:color="auto"/>
        <w:bottom w:val="none" w:sz="0" w:space="0" w:color="auto"/>
        <w:right w:val="none" w:sz="0" w:space="0" w:color="auto"/>
      </w:divBdr>
    </w:div>
    <w:div w:id="2084643549">
      <w:bodyDiv w:val="1"/>
      <w:marLeft w:val="0"/>
      <w:marRight w:val="0"/>
      <w:marTop w:val="0"/>
      <w:marBottom w:val="0"/>
      <w:divBdr>
        <w:top w:val="none" w:sz="0" w:space="0" w:color="auto"/>
        <w:left w:val="none" w:sz="0" w:space="0" w:color="auto"/>
        <w:bottom w:val="none" w:sz="0" w:space="0" w:color="auto"/>
        <w:right w:val="none" w:sz="0" w:space="0" w:color="auto"/>
      </w:divBdr>
    </w:div>
    <w:div w:id="209971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sipa.marakovic@revizija.hr" TargetMode="External"/><Relationship Id="rId4" Type="http://schemas.openxmlformats.org/officeDocument/2006/relationships/settings" Target="settings.xml"/><Relationship Id="rId9" Type="http://schemas.openxmlformats.org/officeDocument/2006/relationships/hyperlink" Target="http://www.revizija.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5C18-4473-42DE-8687-FFD8596F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4139</Words>
  <Characters>23596</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Josipa Maraković</dc:creator>
  <cp:lastModifiedBy>Josipa Maraković</cp:lastModifiedBy>
  <cp:revision>6</cp:revision>
  <cp:lastPrinted>2023-12-20T08:01:00Z</cp:lastPrinted>
  <dcterms:created xsi:type="dcterms:W3CDTF">2023-12-19T18:58:00Z</dcterms:created>
  <dcterms:modified xsi:type="dcterms:W3CDTF">2023-12-20T10:58:00Z</dcterms:modified>
</cp:coreProperties>
</file>